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DD160" w14:textId="77777777" w:rsidR="00965449" w:rsidRDefault="00965449" w:rsidP="0066303F"/>
    <w:p w14:paraId="0F9296F0" w14:textId="77777777" w:rsidR="003C0EAC" w:rsidRPr="001377D8" w:rsidRDefault="003C0EAC" w:rsidP="003C0EAC">
      <w:pPr>
        <w:spacing w:after="4"/>
        <w:rPr>
          <w:b/>
          <w:bCs/>
          <w:sz w:val="22"/>
          <w:szCs w:val="22"/>
        </w:rPr>
      </w:pPr>
    </w:p>
    <w:p w14:paraId="05B52A77" w14:textId="4453E6F2" w:rsidR="003C0EAC" w:rsidRDefault="003C0EAC" w:rsidP="003C0EAC">
      <w:pPr>
        <w:pBdr>
          <w:top w:val="single" w:sz="4" w:space="1" w:color="auto"/>
          <w:bottom w:val="single" w:sz="4" w:space="1" w:color="auto"/>
        </w:pBdr>
        <w:tabs>
          <w:tab w:val="left" w:pos="1584"/>
          <w:tab w:val="center" w:pos="4680"/>
        </w:tabs>
        <w:spacing w:after="4"/>
        <w:jc w:val="center"/>
        <w:rPr>
          <w:rFonts w:ascii="Century Gothic" w:hAnsi="Century Gothic"/>
          <w:b/>
          <w:bCs/>
          <w:sz w:val="52"/>
          <w:szCs w:val="40"/>
        </w:rPr>
      </w:pPr>
      <w:r>
        <w:rPr>
          <w:rFonts w:ascii="Century Gothic" w:hAnsi="Century Gothic"/>
          <w:b/>
          <w:bCs/>
          <w:sz w:val="52"/>
          <w:szCs w:val="40"/>
        </w:rPr>
        <w:t xml:space="preserve">SB 50 </w:t>
      </w:r>
      <w:r>
        <w:rPr>
          <w:rFonts w:ascii="Century Gothic" w:hAnsi="Century Gothic"/>
          <w:b/>
          <w:bCs/>
          <w:sz w:val="52"/>
          <w:szCs w:val="40"/>
        </w:rPr>
        <w:t>New Amendments</w:t>
      </w:r>
      <w:r>
        <w:rPr>
          <w:rFonts w:ascii="Century Gothic" w:hAnsi="Century Gothic"/>
          <w:b/>
          <w:bCs/>
          <w:sz w:val="52"/>
          <w:szCs w:val="40"/>
        </w:rPr>
        <w:t xml:space="preserve"> - DRAFT</w:t>
      </w:r>
    </w:p>
    <w:p w14:paraId="15DF728E" w14:textId="6F1ABF40" w:rsidR="003C0EAC" w:rsidRPr="003C0EAC" w:rsidRDefault="003C0EAC" w:rsidP="003C0EAC">
      <w:pPr>
        <w:pBdr>
          <w:top w:val="single" w:sz="4" w:space="1" w:color="auto"/>
          <w:bottom w:val="single" w:sz="4" w:space="1" w:color="auto"/>
        </w:pBdr>
        <w:tabs>
          <w:tab w:val="left" w:pos="1584"/>
          <w:tab w:val="center" w:pos="4680"/>
        </w:tabs>
        <w:spacing w:after="4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January 1</w:t>
      </w:r>
      <w:r>
        <w:rPr>
          <w:rFonts w:ascii="Century Gothic" w:hAnsi="Century Gothic"/>
          <w:b/>
          <w:bCs/>
        </w:rPr>
        <w:t>5</w:t>
      </w:r>
      <w:r>
        <w:rPr>
          <w:rFonts w:ascii="Century Gothic" w:hAnsi="Century Gothic"/>
          <w:b/>
          <w:bCs/>
        </w:rPr>
        <w:t>, 2020</w:t>
      </w:r>
    </w:p>
    <w:p w14:paraId="371DDC20" w14:textId="77777777" w:rsidR="003C0EAC" w:rsidRDefault="003C0EAC" w:rsidP="00965449">
      <w:pPr>
        <w:tabs>
          <w:tab w:val="left" w:pos="2520"/>
        </w:tabs>
      </w:pPr>
    </w:p>
    <w:p w14:paraId="06CB97E1" w14:textId="110580D1" w:rsidR="000837C4" w:rsidRDefault="0066303F" w:rsidP="00965449">
      <w:pPr>
        <w:tabs>
          <w:tab w:val="left" w:pos="2520"/>
        </w:tabs>
      </w:pPr>
      <w:r>
        <w:t xml:space="preserve">The office of Senator Scott Wiener released an </w:t>
      </w:r>
      <w:hyperlink r:id="rId8" w:history="1">
        <w:r w:rsidRPr="00802E3F">
          <w:rPr>
            <w:rStyle w:val="Hyperlink"/>
          </w:rPr>
          <w:t>update to SB 50</w:t>
        </w:r>
      </w:hyperlink>
      <w:r>
        <w:t xml:space="preserve"> </w:t>
      </w:r>
      <w:r w:rsidR="003C0EAC">
        <w:t>on January 6</w:t>
      </w:r>
      <w:r w:rsidR="003C0EAC" w:rsidRPr="003C0EAC">
        <w:rPr>
          <w:vertAlign w:val="superscript"/>
        </w:rPr>
        <w:t>th</w:t>
      </w:r>
      <w:r>
        <w:t xml:space="preserve"> ahead of its return to the California Senate floor on January </w:t>
      </w:r>
      <w:r w:rsidR="00815D43">
        <w:t>31</w:t>
      </w:r>
      <w:r w:rsidR="00815D43" w:rsidRPr="00815D43">
        <w:rPr>
          <w:vertAlign w:val="superscript"/>
        </w:rPr>
        <w:t>st</w:t>
      </w:r>
      <w:r>
        <w:t>. In addition to rewrites for clari</w:t>
      </w:r>
      <w:r w:rsidR="007115B1">
        <w:t>t</w:t>
      </w:r>
      <w:r>
        <w:t>y</w:t>
      </w:r>
      <w:r w:rsidR="00286B57">
        <w:t xml:space="preserve"> and a revision to some definitions</w:t>
      </w:r>
      <w:r>
        <w:t xml:space="preserve">, four new amendments were </w:t>
      </w:r>
      <w:r w:rsidR="00616EB9">
        <w:t>added</w:t>
      </w:r>
      <w:r w:rsidR="009C27F4">
        <w:t xml:space="preserve"> – a 2-year delay </w:t>
      </w:r>
      <w:r w:rsidR="00616EB9">
        <w:t>from what was originally proposed</w:t>
      </w:r>
      <w:r w:rsidR="003C0EAC">
        <w:t xml:space="preserve">, </w:t>
      </w:r>
      <w:r w:rsidR="009C27F4">
        <w:t xml:space="preserve">increased local </w:t>
      </w:r>
      <w:r w:rsidR="006E2E5C">
        <w:t>flexibility</w:t>
      </w:r>
      <w:r w:rsidR="003C0EAC">
        <w:t xml:space="preserve">, designating the </w:t>
      </w:r>
      <w:r w:rsidR="003C0EAC">
        <w:t>Governor’s Office of Planning and Research</w:t>
      </w:r>
      <w:r w:rsidR="003C0EAC">
        <w:t xml:space="preserve"> to develop local flexibility guidelines,</w:t>
      </w:r>
      <w:r w:rsidR="006E2E5C">
        <w:t xml:space="preserve"> and community preference.</w:t>
      </w:r>
      <w:r w:rsidR="007115B1">
        <w:t xml:space="preserve"> The bill is expected to </w:t>
      </w:r>
      <w:r w:rsidR="0068104E">
        <w:t>continue to change.</w:t>
      </w:r>
    </w:p>
    <w:p w14:paraId="17EB9A0B" w14:textId="77777777" w:rsidR="0066303F" w:rsidRDefault="0066303F" w:rsidP="0066303F"/>
    <w:p w14:paraId="49FF861D" w14:textId="16F3B930" w:rsidR="0066303F" w:rsidRDefault="009C4647" w:rsidP="0066303F">
      <w:pPr>
        <w:pStyle w:val="ListParagraph"/>
        <w:numPr>
          <w:ilvl w:val="0"/>
          <w:numId w:val="2"/>
        </w:numPr>
        <w:rPr>
          <w:b/>
          <w:bCs/>
        </w:rPr>
      </w:pPr>
      <w:r w:rsidRPr="0066303F">
        <w:rPr>
          <w:b/>
          <w:bCs/>
        </w:rPr>
        <w:t>Implementation Delay</w:t>
      </w:r>
    </w:p>
    <w:p w14:paraId="1F143590" w14:textId="3B9A91F4" w:rsidR="0066303F" w:rsidRDefault="0066303F" w:rsidP="0066303F">
      <w:pPr>
        <w:pStyle w:val="ListParagraph"/>
      </w:pPr>
      <w:r w:rsidRPr="009C27F4">
        <w:t>SB 50 woul</w:t>
      </w:r>
      <w:r w:rsidR="00B16627">
        <w:t>d</w:t>
      </w:r>
      <w:r w:rsidR="00802E3F">
        <w:t xml:space="preserve"> not go</w:t>
      </w:r>
      <w:r w:rsidRPr="009C27F4">
        <w:t xml:space="preserve"> into effect </w:t>
      </w:r>
      <w:r w:rsidR="009C27F4" w:rsidRPr="009C27F4">
        <w:t>until J</w:t>
      </w:r>
      <w:r w:rsidR="00AE06F3">
        <w:t xml:space="preserve">anuary </w:t>
      </w:r>
      <w:r w:rsidR="009C27F4" w:rsidRPr="009C27F4">
        <w:t>1, 2023.</w:t>
      </w:r>
      <w:r w:rsidR="009C27F4">
        <w:t xml:space="preserve"> Jurisdictions</w:t>
      </w:r>
      <w:r w:rsidR="00AE06F3" w:rsidRPr="00AE06F3">
        <w:rPr>
          <w:color w:val="00B0F0"/>
        </w:rPr>
        <w:t xml:space="preserve"> </w:t>
      </w:r>
      <w:r w:rsidR="00AE06F3" w:rsidRPr="00AE06F3">
        <w:rPr>
          <w:color w:val="000000" w:themeColor="text1"/>
        </w:rPr>
        <w:t>would be allowed to delay implementation of SB 50 in</w:t>
      </w:r>
      <w:r w:rsidR="00AE06F3" w:rsidRPr="00AE06F3">
        <w:rPr>
          <w:i/>
          <w:iCs/>
          <w:color w:val="000000" w:themeColor="text1"/>
        </w:rPr>
        <w:t xml:space="preserve"> </w:t>
      </w:r>
      <w:r w:rsidR="00AE06F3" w:rsidRPr="00AE06F3">
        <w:rPr>
          <w:i/>
          <w:iCs/>
          <w:color w:val="000000" w:themeColor="text1"/>
        </w:rPr>
        <w:t>potentially sensitive communities</w:t>
      </w:r>
      <w:r w:rsidR="00AE06F3" w:rsidRPr="00AE06F3">
        <w:rPr>
          <w:color w:val="000000" w:themeColor="text1"/>
        </w:rPr>
        <w:t xml:space="preserve"> until July</w:t>
      </w:r>
      <w:r w:rsidR="00AE06F3" w:rsidRPr="00AE06F3">
        <w:rPr>
          <w:color w:val="000000" w:themeColor="text1"/>
        </w:rPr>
        <w:t xml:space="preserve"> 1,</w:t>
      </w:r>
      <w:r w:rsidR="00AE06F3">
        <w:rPr>
          <w:color w:val="000000" w:themeColor="text1"/>
        </w:rPr>
        <w:t xml:space="preserve"> </w:t>
      </w:r>
      <w:r w:rsidR="00AE06F3" w:rsidRPr="00AE06F3">
        <w:rPr>
          <w:color w:val="000000" w:themeColor="text1"/>
        </w:rPr>
        <w:t xml:space="preserve">2023 </w:t>
      </w:r>
      <w:r w:rsidR="00AE06F3">
        <w:t>and in</w:t>
      </w:r>
      <w:r w:rsidR="009C27F4">
        <w:t xml:space="preserve"> </w:t>
      </w:r>
      <w:r w:rsidR="00AE06F3">
        <w:t xml:space="preserve">determined </w:t>
      </w:r>
      <w:r w:rsidR="009C27F4" w:rsidRPr="009C27F4">
        <w:rPr>
          <w:i/>
          <w:iCs/>
        </w:rPr>
        <w:t>sensitive communitie</w:t>
      </w:r>
      <w:r w:rsidR="00B16627">
        <w:t>s</w:t>
      </w:r>
      <w:r w:rsidR="00AE06F3">
        <w:t xml:space="preserve"> until </w:t>
      </w:r>
      <w:r w:rsidR="009C27F4">
        <w:t>J</w:t>
      </w:r>
      <w:r w:rsidR="00286B57">
        <w:t>anuary</w:t>
      </w:r>
      <w:r w:rsidR="009C27F4">
        <w:t xml:space="preserve"> 1, 2026</w:t>
      </w:r>
      <w:r w:rsidR="00616EB9">
        <w:t xml:space="preserve">. </w:t>
      </w:r>
    </w:p>
    <w:p w14:paraId="61EA30DE" w14:textId="706198D3" w:rsidR="006F76AF" w:rsidRDefault="006F76AF" w:rsidP="0066303F">
      <w:pPr>
        <w:pStyle w:val="ListParagraph"/>
      </w:pPr>
    </w:p>
    <w:p w14:paraId="6B30D13C" w14:textId="132E679A" w:rsidR="006F76AF" w:rsidRDefault="006F76AF" w:rsidP="0066303F">
      <w:pPr>
        <w:pStyle w:val="ListParagraph"/>
        <w:rPr>
          <w:b/>
          <w:bCs/>
        </w:rPr>
      </w:pPr>
      <w:r w:rsidRPr="006F76AF">
        <w:rPr>
          <w:b/>
          <w:bCs/>
        </w:rPr>
        <w:t xml:space="preserve">How </w:t>
      </w:r>
      <w:r w:rsidR="00AE06F3">
        <w:rPr>
          <w:b/>
          <w:bCs/>
        </w:rPr>
        <w:t xml:space="preserve">are </w:t>
      </w:r>
      <w:r w:rsidRPr="006F76AF">
        <w:rPr>
          <w:b/>
          <w:bCs/>
          <w:i/>
          <w:iCs/>
        </w:rPr>
        <w:t>Sensitive Communit</w:t>
      </w:r>
      <w:r w:rsidR="00AE06F3">
        <w:rPr>
          <w:b/>
          <w:bCs/>
          <w:i/>
          <w:iCs/>
        </w:rPr>
        <w:t>ies</w:t>
      </w:r>
      <w:r w:rsidRPr="006F76AF">
        <w:rPr>
          <w:b/>
          <w:bCs/>
        </w:rPr>
        <w:t xml:space="preserve"> defined?</w:t>
      </w:r>
    </w:p>
    <w:p w14:paraId="544702D4" w14:textId="5F06C007" w:rsidR="00AE06F3" w:rsidRDefault="00AE06F3" w:rsidP="00AE06F3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AE06F3">
        <w:rPr>
          <w:bCs/>
          <w:i/>
          <w:iCs/>
          <w:color w:val="000000" w:themeColor="text1"/>
        </w:rPr>
        <w:t>Sensitive Communities</w:t>
      </w:r>
      <w:r>
        <w:rPr>
          <w:bCs/>
          <w:color w:val="000000" w:themeColor="text1"/>
        </w:rPr>
        <w:t xml:space="preserve"> are defined as urban census tracts at </w:t>
      </w:r>
      <w:r w:rsidRPr="00AE06F3">
        <w:rPr>
          <w:bCs/>
          <w:color w:val="000000" w:themeColor="text1"/>
        </w:rPr>
        <w:t xml:space="preserve">the intersection of </w:t>
      </w:r>
      <w:r w:rsidR="003C0EAC" w:rsidRPr="00AE06F3">
        <w:rPr>
          <w:bCs/>
          <w:color w:val="000000" w:themeColor="text1"/>
        </w:rPr>
        <w:t>M</w:t>
      </w:r>
      <w:r w:rsidR="003C0EAC">
        <w:rPr>
          <w:bCs/>
          <w:color w:val="000000" w:themeColor="text1"/>
        </w:rPr>
        <w:t xml:space="preserve">etropolitan </w:t>
      </w:r>
      <w:r w:rsidRPr="00AE06F3">
        <w:rPr>
          <w:bCs/>
          <w:color w:val="000000" w:themeColor="text1"/>
        </w:rPr>
        <w:t>T</w:t>
      </w:r>
      <w:r w:rsidR="003C0EAC">
        <w:rPr>
          <w:bCs/>
          <w:color w:val="000000" w:themeColor="text1"/>
        </w:rPr>
        <w:t xml:space="preserve">ransportation </w:t>
      </w:r>
      <w:r w:rsidRPr="00AE06F3">
        <w:rPr>
          <w:bCs/>
          <w:color w:val="000000" w:themeColor="text1"/>
        </w:rPr>
        <w:t>C</w:t>
      </w:r>
      <w:r w:rsidR="003C0EAC">
        <w:rPr>
          <w:bCs/>
          <w:color w:val="000000" w:themeColor="text1"/>
        </w:rPr>
        <w:t>ommission</w:t>
      </w:r>
      <w:r w:rsidRPr="00AE06F3">
        <w:rPr>
          <w:bCs/>
          <w:color w:val="000000" w:themeColor="text1"/>
        </w:rPr>
        <w:t>’s Communities of Concerns and San Francisco Bay Conservation and Development Commission</w:t>
      </w:r>
      <w:r w:rsidR="003C0EAC">
        <w:rPr>
          <w:bCs/>
          <w:color w:val="000000" w:themeColor="text1"/>
        </w:rPr>
        <w:t xml:space="preserve">’s </w:t>
      </w:r>
      <w:r w:rsidRPr="00AE06F3">
        <w:rPr>
          <w:bCs/>
          <w:color w:val="000000" w:themeColor="text1"/>
        </w:rPr>
        <w:t xml:space="preserve">Disadvantaged Communities. </w:t>
      </w:r>
      <w:r w:rsidRPr="00AE06F3">
        <w:rPr>
          <w:bCs/>
          <w:color w:val="000000" w:themeColor="text1"/>
        </w:rPr>
        <w:t>While t</w:t>
      </w:r>
      <w:r w:rsidRPr="00AE06F3">
        <w:rPr>
          <w:bCs/>
          <w:color w:val="000000" w:themeColor="text1"/>
        </w:rPr>
        <w:t>here is a separate, slower, timeline for implementation in sensitive communities, few parts of San Mateo County will qualify. The sensitive communities are mapped below</w:t>
      </w:r>
      <w:r>
        <w:rPr>
          <w:color w:val="000000" w:themeColor="text1"/>
        </w:rPr>
        <w:t>.</w:t>
      </w:r>
    </w:p>
    <w:p w14:paraId="52126100" w14:textId="77777777" w:rsidR="00AE06F3" w:rsidRPr="00AE06F3" w:rsidRDefault="00AE06F3" w:rsidP="00AE06F3">
      <w:pPr>
        <w:pStyle w:val="ListParagraph"/>
        <w:ind w:left="1440"/>
        <w:rPr>
          <w:color w:val="000000" w:themeColor="text1"/>
        </w:rPr>
      </w:pPr>
    </w:p>
    <w:p w14:paraId="1FD7D978" w14:textId="271CE0B0" w:rsidR="00AE06F3" w:rsidRPr="00AE06F3" w:rsidRDefault="00AE06F3" w:rsidP="003C0EAC">
      <w:pPr>
        <w:spacing w:after="4"/>
        <w:rPr>
          <w:bCs/>
          <w:color w:val="00B0F0"/>
        </w:rPr>
      </w:pPr>
      <w:r>
        <w:rPr>
          <w:noProof/>
        </w:rPr>
        <w:drawing>
          <wp:inline distT="0" distB="0" distL="0" distR="0" wp14:anchorId="36CB8E13" wp14:editId="7D649CAF">
            <wp:extent cx="1790082" cy="1619250"/>
            <wp:effectExtent l="0" t="0" r="635" b="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8108" cy="16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8A4E60" wp14:editId="31ED6B74">
            <wp:extent cx="2095500" cy="1619250"/>
            <wp:effectExtent l="0" t="0" r="0" b="0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400BEB" wp14:editId="4016265A">
            <wp:extent cx="1883873" cy="1559700"/>
            <wp:effectExtent l="0" t="0" r="2540" b="2540"/>
            <wp:docPr id="4" name="Picture 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9633" cy="156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191BB" w14:textId="77777777" w:rsidR="00AE06F3" w:rsidRDefault="00AE06F3" w:rsidP="00AE06F3">
      <w:pPr>
        <w:pStyle w:val="ListParagraph"/>
        <w:ind w:left="1440"/>
      </w:pPr>
    </w:p>
    <w:p w14:paraId="5B0AF4D8" w14:textId="7FCEBA5C" w:rsidR="006F76AF" w:rsidRDefault="006F76AF" w:rsidP="006F76AF">
      <w:pPr>
        <w:pStyle w:val="ListParagraph"/>
        <w:numPr>
          <w:ilvl w:val="0"/>
          <w:numId w:val="4"/>
        </w:numPr>
      </w:pPr>
      <w:r>
        <w:t xml:space="preserve">The legislation mentions </w:t>
      </w:r>
      <w:r w:rsidR="00C03D5E">
        <w:t xml:space="preserve">identifying additional </w:t>
      </w:r>
      <w:r w:rsidR="005314B1">
        <w:rPr>
          <w:i/>
          <w:iCs/>
        </w:rPr>
        <w:t>P</w:t>
      </w:r>
      <w:r w:rsidR="00C03D5E" w:rsidRPr="005314B1">
        <w:rPr>
          <w:i/>
          <w:iCs/>
        </w:rPr>
        <w:t xml:space="preserve">otentially </w:t>
      </w:r>
      <w:r w:rsidR="005314B1">
        <w:rPr>
          <w:i/>
          <w:iCs/>
        </w:rPr>
        <w:t>S</w:t>
      </w:r>
      <w:r w:rsidR="00C03D5E" w:rsidRPr="005314B1">
        <w:rPr>
          <w:i/>
          <w:iCs/>
        </w:rPr>
        <w:t xml:space="preserve">ensitive </w:t>
      </w:r>
      <w:r w:rsidR="005314B1">
        <w:rPr>
          <w:i/>
          <w:iCs/>
        </w:rPr>
        <w:t>C</w:t>
      </w:r>
      <w:r w:rsidR="00C03D5E" w:rsidRPr="005314B1">
        <w:rPr>
          <w:i/>
          <w:iCs/>
        </w:rPr>
        <w:t>ommunities</w:t>
      </w:r>
      <w:r w:rsidR="00C03D5E">
        <w:t>, like</w:t>
      </w:r>
      <w:r>
        <w:t xml:space="preserve"> inland areas, areas experiencing rapid housing cost changes or other areas based on objective measures.</w:t>
      </w:r>
    </w:p>
    <w:p w14:paraId="60A08E5D" w14:textId="77777777" w:rsidR="00AE06F3" w:rsidRDefault="00AE06F3" w:rsidP="00AE06F3">
      <w:pPr>
        <w:pStyle w:val="ListParagraph"/>
        <w:ind w:left="1440"/>
      </w:pPr>
    </w:p>
    <w:p w14:paraId="1CC791A4" w14:textId="77777777" w:rsidR="00AE06F3" w:rsidRDefault="00816A2E" w:rsidP="00C03D5E">
      <w:pPr>
        <w:pStyle w:val="ListParagraph"/>
        <w:numPr>
          <w:ilvl w:val="0"/>
          <w:numId w:val="4"/>
        </w:numPr>
      </w:pPr>
      <w:r w:rsidRPr="005314B1">
        <w:rPr>
          <w:i/>
          <w:iCs/>
        </w:rPr>
        <w:t>Po</w:t>
      </w:r>
      <w:r w:rsidRPr="006F76AF">
        <w:rPr>
          <w:i/>
          <w:iCs/>
        </w:rPr>
        <w:t xml:space="preserve">tentially </w:t>
      </w:r>
      <w:r w:rsidR="009C27F4" w:rsidRPr="006F76AF">
        <w:rPr>
          <w:i/>
          <w:iCs/>
        </w:rPr>
        <w:t xml:space="preserve">Sensitive </w:t>
      </w:r>
      <w:r w:rsidR="006F76AF" w:rsidRPr="006F76AF">
        <w:rPr>
          <w:i/>
          <w:iCs/>
        </w:rPr>
        <w:t>Communi</w:t>
      </w:r>
      <w:r w:rsidR="00AE06F3">
        <w:rPr>
          <w:i/>
          <w:iCs/>
        </w:rPr>
        <w:t>ties meet any of the following rules:</w:t>
      </w:r>
      <w:r w:rsidR="009C27F4">
        <w:t xml:space="preserve"> </w:t>
      </w:r>
    </w:p>
    <w:p w14:paraId="77ED1FAD" w14:textId="0C3A668D" w:rsidR="00AE06F3" w:rsidRDefault="00AE06F3" w:rsidP="00AE06F3">
      <w:pPr>
        <w:pStyle w:val="ListParagraph"/>
        <w:numPr>
          <w:ilvl w:val="1"/>
          <w:numId w:val="4"/>
        </w:numPr>
      </w:pPr>
      <w:r>
        <w:t>D</w:t>
      </w:r>
      <w:r w:rsidR="009C27F4">
        <w:t>esignated as “</w:t>
      </w:r>
      <w:r w:rsidR="009C27F4" w:rsidRPr="009C4647">
        <w:t xml:space="preserve">high segregation and poverty” or “low resource” </w:t>
      </w:r>
      <w:r w:rsidR="009C27F4">
        <w:t>i</w:t>
      </w:r>
      <w:r w:rsidR="009C27F4" w:rsidRPr="009C4647">
        <w:t xml:space="preserve">n the 2019 Opportunity Maps </w:t>
      </w:r>
      <w:r w:rsidR="009C27F4">
        <w:t>(</w:t>
      </w:r>
      <w:r w:rsidR="009C27F4" w:rsidRPr="009C4647">
        <w:t>California Tax Credit Allocation Committee</w:t>
      </w:r>
      <w:r w:rsidR="009C27F4">
        <w:t>)</w:t>
      </w:r>
    </w:p>
    <w:p w14:paraId="564CB0EA" w14:textId="18057881" w:rsidR="009C27F4" w:rsidRDefault="00AE06F3" w:rsidP="00AE06F3">
      <w:pPr>
        <w:pStyle w:val="ListParagraph"/>
        <w:numPr>
          <w:ilvl w:val="1"/>
          <w:numId w:val="4"/>
        </w:numPr>
      </w:pPr>
      <w:r>
        <w:t>A</w:t>
      </w:r>
      <w:r w:rsidR="00C03D5E">
        <w:t xml:space="preserve"> c</w:t>
      </w:r>
      <w:r w:rsidR="009C27F4">
        <w:t>ensus tract that</w:t>
      </w:r>
      <w:r w:rsidR="006E2E5C">
        <w:t xml:space="preserve"> </w:t>
      </w:r>
      <w:r w:rsidR="009C27F4">
        <w:t>score</w:t>
      </w:r>
      <w:r>
        <w:t>s</w:t>
      </w:r>
      <w:r w:rsidR="009C27F4">
        <w:t xml:space="preserve"> in the top 25 percent </w:t>
      </w:r>
      <w:r w:rsidR="00646079">
        <w:t>with</w:t>
      </w:r>
      <w:r w:rsidR="009C27F4">
        <w:t xml:space="preserve"> the </w:t>
      </w:r>
      <w:proofErr w:type="spellStart"/>
      <w:r w:rsidR="009C27F4">
        <w:t>CalEnviroScreen</w:t>
      </w:r>
      <w:proofErr w:type="spellEnd"/>
      <w:r w:rsidR="009C27F4">
        <w:t xml:space="preserve"> 3.0 web-based tool</w:t>
      </w:r>
      <w:r w:rsidR="006E2E5C">
        <w:t xml:space="preserve"> or </w:t>
      </w:r>
      <w:r w:rsidR="004E4D94">
        <w:t xml:space="preserve">were </w:t>
      </w:r>
      <w:r w:rsidR="009C27F4">
        <w:t xml:space="preserve">identified by </w:t>
      </w:r>
      <w:r w:rsidR="00802E3F">
        <w:t xml:space="preserve">HUD </w:t>
      </w:r>
      <w:r w:rsidR="009C27F4">
        <w:t>in 2019</w:t>
      </w:r>
    </w:p>
    <w:p w14:paraId="24ECA67C" w14:textId="63259E8F" w:rsidR="003C0EAC" w:rsidRDefault="003C0EAC" w:rsidP="003C0EAC"/>
    <w:p w14:paraId="3540C624" w14:textId="10FE2607" w:rsidR="003C0EAC" w:rsidRDefault="003C0EAC" w:rsidP="003C0EAC"/>
    <w:p w14:paraId="010590F2" w14:textId="77777777" w:rsidR="003C0EAC" w:rsidRDefault="003C0EAC" w:rsidP="003C0EAC"/>
    <w:p w14:paraId="21F2C31D" w14:textId="707DD554" w:rsidR="009C27F4" w:rsidRDefault="00AE06F3" w:rsidP="009C27F4">
      <w:pPr>
        <w:pStyle w:val="ListParagraph"/>
        <w:numPr>
          <w:ilvl w:val="1"/>
          <w:numId w:val="4"/>
        </w:numPr>
        <w:spacing w:after="4"/>
      </w:pPr>
      <w:r w:rsidRPr="00FB0BAA">
        <w:t>A qualified census tract identified by the United States Department of Housing and Urban Development for 2019</w:t>
      </w:r>
      <w:bookmarkStart w:id="0" w:name="_GoBack"/>
      <w:bookmarkEnd w:id="0"/>
    </w:p>
    <w:p w14:paraId="31E77BC6" w14:textId="77777777" w:rsidR="003C0EAC" w:rsidRPr="009C27F4" w:rsidRDefault="003C0EAC" w:rsidP="003C0EAC">
      <w:pPr>
        <w:spacing w:after="4"/>
        <w:ind w:left="1800"/>
      </w:pPr>
    </w:p>
    <w:p w14:paraId="28D362E7" w14:textId="02F2D638" w:rsidR="00646079" w:rsidRDefault="00646079" w:rsidP="00646079">
      <w:pPr>
        <w:pStyle w:val="ListParagraph"/>
        <w:numPr>
          <w:ilvl w:val="0"/>
          <w:numId w:val="2"/>
        </w:numPr>
      </w:pPr>
      <w:r w:rsidRPr="00646079">
        <w:rPr>
          <w:b/>
          <w:bCs/>
        </w:rPr>
        <w:t>Local Flexibility</w:t>
      </w:r>
      <w:r w:rsidR="004E4D94">
        <w:rPr>
          <w:b/>
          <w:bCs/>
        </w:rPr>
        <w:t xml:space="preserve"> Plans</w:t>
      </w:r>
      <w:r w:rsidR="00280D5C">
        <w:rPr>
          <w:b/>
          <w:bCs/>
        </w:rPr>
        <w:t xml:space="preserve"> </w:t>
      </w:r>
    </w:p>
    <w:p w14:paraId="3FDD6890" w14:textId="0DA43B26" w:rsidR="00AE06F3" w:rsidRPr="00CD7A26" w:rsidRDefault="00AE06F3" w:rsidP="00CD7A26">
      <w:pPr>
        <w:pStyle w:val="ListParagraph"/>
        <w:spacing w:after="4"/>
        <w:rPr>
          <w:color w:val="000000" w:themeColor="text1"/>
        </w:rPr>
      </w:pPr>
      <w:r w:rsidRPr="00AE06F3">
        <w:rPr>
          <w:color w:val="000000" w:themeColor="text1"/>
        </w:rPr>
        <w:t xml:space="preserve">As of the January 6, 2020 revisions, jurisdictions are now allowed to create their own plan for increasing development near jobs and transit, referred to as a </w:t>
      </w:r>
      <w:r w:rsidRPr="00AE06F3">
        <w:rPr>
          <w:i/>
          <w:iCs/>
          <w:color w:val="000000" w:themeColor="text1"/>
        </w:rPr>
        <w:t>Local Flexibility Plan</w:t>
      </w:r>
      <w:r w:rsidRPr="00AE06F3">
        <w:rPr>
          <w:color w:val="000000" w:themeColor="text1"/>
        </w:rPr>
        <w:t xml:space="preserve">. Density must meet or exceed SB 50 in a way that reduces driving and affirmatively </w:t>
      </w:r>
      <w:r w:rsidRPr="00CD7A26">
        <w:rPr>
          <w:color w:val="000000" w:themeColor="text1"/>
        </w:rPr>
        <w:t>furthers fair housing, but cities and counties could use their discretion about the specific changes to make. For example, a city could allow up to six-story buildings on streets facing BART or Caltrain stations and step down to four-story buildings a block away, instead of allowing five-story heights for all buildings within a quarter mile, which the previous version of the bill required. Additionally, cities could exempt some neighborhoods entirely. Plan applications will be accepted beginning July 2021. Jurisdictions that do not complete a local flexibility plan by the July 2023 deadline will default to SB 50.</w:t>
      </w:r>
    </w:p>
    <w:p w14:paraId="436031A9" w14:textId="2EA8F8BB" w:rsidR="007A0338" w:rsidRDefault="007A0338" w:rsidP="00646079">
      <w:pPr>
        <w:pStyle w:val="ListParagraph"/>
      </w:pPr>
    </w:p>
    <w:p w14:paraId="0B684BDF" w14:textId="34BB7F0A" w:rsidR="007A0338" w:rsidRDefault="00936F31" w:rsidP="0066303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Developing Guidelines for Local Flexibility Plans</w:t>
      </w:r>
      <w:r w:rsidR="00280D5C">
        <w:rPr>
          <w:b/>
          <w:bCs/>
        </w:rPr>
        <w:t xml:space="preserve"> </w:t>
      </w:r>
    </w:p>
    <w:p w14:paraId="53289C22" w14:textId="048EB961" w:rsidR="00286B57" w:rsidRDefault="007115B1" w:rsidP="00AE06F3">
      <w:pPr>
        <w:pStyle w:val="ListParagraph"/>
      </w:pPr>
      <w:r>
        <w:t>The Governor’s Office of Planning and Research (OPR) is charged with developing</w:t>
      </w:r>
      <w:r w:rsidR="00815D43">
        <w:t xml:space="preserve"> the</w:t>
      </w:r>
      <w:r>
        <w:t xml:space="preserve"> guidelines for local flexibility plan</w:t>
      </w:r>
      <w:r w:rsidR="00815D43">
        <w:t xml:space="preserve">s </w:t>
      </w:r>
      <w:r>
        <w:t xml:space="preserve">in the latest version of </w:t>
      </w:r>
      <w:r w:rsidR="00815D43">
        <w:t>SB 50</w:t>
      </w:r>
      <w:r>
        <w:t>. In consultation with the Department of Housing and Community Development (HCD)</w:t>
      </w:r>
      <w:r w:rsidR="00815D43">
        <w:t xml:space="preserve">, OPR will design all requirements for </w:t>
      </w:r>
      <w:r w:rsidR="00802E3F">
        <w:t xml:space="preserve">local flexibility </w:t>
      </w:r>
      <w:r w:rsidR="00815D43">
        <w:t xml:space="preserve">plans, applications and approvals, and make </w:t>
      </w:r>
      <w:r w:rsidR="0068104E">
        <w:t xml:space="preserve">rules </w:t>
      </w:r>
      <w:r w:rsidR="00815D43">
        <w:t>available on its website on or before July 1, 2021.</w:t>
      </w:r>
      <w:r>
        <w:rPr>
          <w:vanish/>
        </w:rPr>
        <w:t>DHCDHXD</w:t>
      </w:r>
    </w:p>
    <w:p w14:paraId="44AA8E70" w14:textId="77777777" w:rsidR="00286B57" w:rsidRPr="007115B1" w:rsidRDefault="00286B57" w:rsidP="007115B1">
      <w:pPr>
        <w:rPr>
          <w:vanish/>
        </w:rPr>
      </w:pPr>
    </w:p>
    <w:p w14:paraId="2F472606" w14:textId="77777777" w:rsidR="00656B1E" w:rsidRPr="00656B1E" w:rsidRDefault="00656B1E" w:rsidP="00656B1E">
      <w:pPr>
        <w:pStyle w:val="ListParagraph"/>
        <w:rPr>
          <w:b/>
          <w:bCs/>
        </w:rPr>
      </w:pPr>
    </w:p>
    <w:p w14:paraId="40A535C0" w14:textId="77777777" w:rsidR="00802E3F" w:rsidRPr="00802E3F" w:rsidRDefault="007A0338" w:rsidP="00A10C2F">
      <w:pPr>
        <w:pStyle w:val="ListParagraph"/>
        <w:numPr>
          <w:ilvl w:val="0"/>
          <w:numId w:val="2"/>
        </w:numPr>
      </w:pPr>
      <w:r w:rsidRPr="00802E3F">
        <w:rPr>
          <w:b/>
          <w:bCs/>
        </w:rPr>
        <w:t>Community Preference</w:t>
      </w:r>
      <w:r w:rsidR="00280D5C" w:rsidRPr="00802E3F">
        <w:rPr>
          <w:b/>
          <w:bCs/>
        </w:rPr>
        <w:t xml:space="preserve"> </w:t>
      </w:r>
    </w:p>
    <w:p w14:paraId="056F9DD2" w14:textId="795A3921" w:rsidR="007A0338" w:rsidRDefault="0068104E" w:rsidP="00802E3F">
      <w:pPr>
        <w:pStyle w:val="ListParagraph"/>
      </w:pPr>
      <w:r>
        <w:t xml:space="preserve">Low-income residents living within one-half mile of a development at time of application are </w:t>
      </w:r>
      <w:r w:rsidR="00B16627">
        <w:t xml:space="preserve">now </w:t>
      </w:r>
      <w:r>
        <w:t>given priority for affordable uni</w:t>
      </w:r>
      <w:r w:rsidR="00B16627">
        <w:t>ts. Forty percent of all affordable units will be reserved for low-income households. The Senator is continuing discussions with groups representing the interests of low-income communities, and this section is expected to further develop.</w:t>
      </w:r>
      <w:r w:rsidR="00802E3F">
        <w:t xml:space="preserve"> </w:t>
      </w:r>
    </w:p>
    <w:sectPr w:rsidR="007A0338" w:rsidSect="00965449">
      <w:headerReference w:type="default" r:id="rId12"/>
      <w:footerReference w:type="even" r:id="rId13"/>
      <w:footerReference w:type="default" r:id="rId14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71D55" w14:textId="77777777" w:rsidR="00C57327" w:rsidRDefault="00C57327" w:rsidP="00616EB9">
      <w:r>
        <w:separator/>
      </w:r>
    </w:p>
  </w:endnote>
  <w:endnote w:type="continuationSeparator" w:id="0">
    <w:p w14:paraId="18F2886C" w14:textId="77777777" w:rsidR="00C57327" w:rsidRDefault="00C57327" w:rsidP="0061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00364865"/>
      <w:docPartObj>
        <w:docPartGallery w:val="Page Numbers (Bottom of Page)"/>
        <w:docPartUnique/>
      </w:docPartObj>
    </w:sdtPr>
    <w:sdtContent>
      <w:p w14:paraId="637F48C8" w14:textId="2858791D" w:rsidR="00AE06F3" w:rsidRDefault="00AE06F3" w:rsidP="00F349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05CC66" w14:textId="77777777" w:rsidR="00AE06F3" w:rsidRDefault="00AE06F3" w:rsidP="00AE06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53300030"/>
      <w:docPartObj>
        <w:docPartGallery w:val="Page Numbers (Bottom of Page)"/>
        <w:docPartUnique/>
      </w:docPartObj>
    </w:sdtPr>
    <w:sdtContent>
      <w:p w14:paraId="2C5AB207" w14:textId="6147E055" w:rsidR="00AE06F3" w:rsidRDefault="00AE06F3" w:rsidP="00F349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1365B2D" w14:textId="2938D669" w:rsidR="00B16627" w:rsidRDefault="00B16627" w:rsidP="00AE06F3">
    <w:pPr>
      <w:pStyle w:val="Footer"/>
      <w:ind w:right="360"/>
    </w:pPr>
  </w:p>
  <w:p w14:paraId="3C5647B9" w14:textId="77777777" w:rsidR="00B16627" w:rsidRDefault="00B16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1054C" w14:textId="77777777" w:rsidR="00C57327" w:rsidRDefault="00C57327" w:rsidP="00616EB9">
      <w:r>
        <w:separator/>
      </w:r>
    </w:p>
  </w:footnote>
  <w:footnote w:type="continuationSeparator" w:id="0">
    <w:p w14:paraId="16D1EBA8" w14:textId="77777777" w:rsidR="00C57327" w:rsidRDefault="00C57327" w:rsidP="0061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211A6" w14:textId="19612E38" w:rsidR="00616EB9" w:rsidRPr="003C0EAC" w:rsidRDefault="00655DA6">
    <w:pPr>
      <w:pStyle w:val="Header"/>
      <w:rPr>
        <w:b/>
        <w:bCs/>
        <w:sz w:val="28"/>
        <w:szCs w:val="28"/>
      </w:rPr>
    </w:pPr>
    <w:r w:rsidRPr="00845581">
      <w:rPr>
        <w:bCs/>
        <w:noProof/>
        <w:sz w:val="52"/>
        <w:szCs w:val="40"/>
      </w:rPr>
      <w:drawing>
        <wp:anchor distT="0" distB="0" distL="114300" distR="114300" simplePos="0" relativeHeight="251659264" behindDoc="0" locked="0" layoutInCell="1" allowOverlap="1" wp14:anchorId="28CD2C15" wp14:editId="347974E7">
          <wp:simplePos x="0" y="0"/>
          <wp:positionH relativeFrom="column">
            <wp:posOffset>2371126</wp:posOffset>
          </wp:positionH>
          <wp:positionV relativeFrom="paragraph">
            <wp:posOffset>-230686</wp:posOffset>
          </wp:positionV>
          <wp:extent cx="1188720" cy="661690"/>
          <wp:effectExtent l="0" t="0" r="0" b="5080"/>
          <wp:wrapSquare wrapText="bothSides"/>
          <wp:docPr id="1" name="Picture 1" descr="C:\Users\Joshua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shua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6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854"/>
    <w:multiLevelType w:val="hybridMultilevel"/>
    <w:tmpl w:val="2A824B52"/>
    <w:lvl w:ilvl="0" w:tplc="F2845C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27DD"/>
    <w:multiLevelType w:val="hybridMultilevel"/>
    <w:tmpl w:val="10C0F1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FC75AD"/>
    <w:multiLevelType w:val="hybridMultilevel"/>
    <w:tmpl w:val="6982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55837"/>
    <w:multiLevelType w:val="hybridMultilevel"/>
    <w:tmpl w:val="AA32B2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C83870"/>
    <w:multiLevelType w:val="hybridMultilevel"/>
    <w:tmpl w:val="AB80F5E4"/>
    <w:lvl w:ilvl="0" w:tplc="D48C7D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47"/>
    <w:rsid w:val="000837C4"/>
    <w:rsid w:val="00096BAF"/>
    <w:rsid w:val="00280D5C"/>
    <w:rsid w:val="00286B57"/>
    <w:rsid w:val="0031597C"/>
    <w:rsid w:val="003852C7"/>
    <w:rsid w:val="003C0EAC"/>
    <w:rsid w:val="0040144B"/>
    <w:rsid w:val="004E4D94"/>
    <w:rsid w:val="005314B1"/>
    <w:rsid w:val="00616EB9"/>
    <w:rsid w:val="00646079"/>
    <w:rsid w:val="00655DA6"/>
    <w:rsid w:val="00656B1E"/>
    <w:rsid w:val="0066303F"/>
    <w:rsid w:val="0068104E"/>
    <w:rsid w:val="0068160D"/>
    <w:rsid w:val="006E2E5C"/>
    <w:rsid w:val="006F76AF"/>
    <w:rsid w:val="007115B1"/>
    <w:rsid w:val="00772A80"/>
    <w:rsid w:val="007A0338"/>
    <w:rsid w:val="00802E3F"/>
    <w:rsid w:val="00815D43"/>
    <w:rsid w:val="00816A2E"/>
    <w:rsid w:val="008A0F5C"/>
    <w:rsid w:val="00936F31"/>
    <w:rsid w:val="00965449"/>
    <w:rsid w:val="009C27F4"/>
    <w:rsid w:val="009C4647"/>
    <w:rsid w:val="00AE06F3"/>
    <w:rsid w:val="00B057B1"/>
    <w:rsid w:val="00B16627"/>
    <w:rsid w:val="00C03D5E"/>
    <w:rsid w:val="00C57327"/>
    <w:rsid w:val="00C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91458"/>
  <w15:chartTrackingRefBased/>
  <w15:docId w15:val="{2860F8C3-C670-5241-92FF-D4F3EA5D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EB9"/>
  </w:style>
  <w:style w:type="paragraph" w:styleId="Footer">
    <w:name w:val="footer"/>
    <w:basedOn w:val="Normal"/>
    <w:link w:val="FooterChar"/>
    <w:uiPriority w:val="99"/>
    <w:unhideWhenUsed/>
    <w:rsid w:val="00616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EB9"/>
  </w:style>
  <w:style w:type="character" w:styleId="Hyperlink">
    <w:name w:val="Hyperlink"/>
    <w:basedOn w:val="DefaultParagraphFont"/>
    <w:uiPriority w:val="99"/>
    <w:unhideWhenUsed/>
    <w:rsid w:val="004E4D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D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104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66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6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6627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AE06F3"/>
  </w:style>
  <w:style w:type="paragraph" w:styleId="BalloonText">
    <w:name w:val="Balloon Text"/>
    <w:basedOn w:val="Normal"/>
    <w:link w:val="BalloonTextChar"/>
    <w:uiPriority w:val="99"/>
    <w:semiHidden/>
    <w:unhideWhenUsed/>
    <w:rsid w:val="00CD7A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5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6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7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nfo.legislature.ca.gov/faces/billNavClient.xhtml?bill_id=201920200SB5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5AAD6E-53A1-074F-A786-DA2553D9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Campbell Wood</dc:creator>
  <cp:keywords/>
  <dc:description/>
  <cp:lastModifiedBy>Brandi Campbell Wood</cp:lastModifiedBy>
  <cp:revision>3</cp:revision>
  <cp:lastPrinted>2020-01-15T22:27:00Z</cp:lastPrinted>
  <dcterms:created xsi:type="dcterms:W3CDTF">2020-01-15T22:27:00Z</dcterms:created>
  <dcterms:modified xsi:type="dcterms:W3CDTF">2020-01-15T22:27:00Z</dcterms:modified>
</cp:coreProperties>
</file>