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6FEDB" w14:textId="77777777" w:rsidR="00237A96" w:rsidRDefault="00237A96" w:rsidP="00F448B0">
      <w:pPr>
        <w:pBdr>
          <w:top w:val="single" w:sz="4" w:space="1" w:color="auto"/>
          <w:bottom w:val="single" w:sz="4" w:space="1" w:color="auto"/>
        </w:pBdr>
        <w:tabs>
          <w:tab w:val="left" w:pos="1584"/>
          <w:tab w:val="center" w:pos="4680"/>
        </w:tabs>
        <w:spacing w:after="0" w:line="240" w:lineRule="auto"/>
        <w:jc w:val="center"/>
        <w:rPr>
          <w:rFonts w:ascii="Century Gothic" w:hAnsi="Century Gothic"/>
          <w:b/>
          <w:bCs/>
          <w:sz w:val="52"/>
          <w:szCs w:val="40"/>
        </w:rPr>
      </w:pPr>
      <w:r>
        <w:rPr>
          <w:rFonts w:ascii="Century Gothic" w:hAnsi="Century Gothic"/>
          <w:b/>
          <w:bCs/>
          <w:sz w:val="52"/>
          <w:szCs w:val="40"/>
        </w:rPr>
        <w:t>SB 50 Summary - DRAFT</w:t>
      </w:r>
    </w:p>
    <w:p w14:paraId="1BDBCA96" w14:textId="1F07BA5C" w:rsidR="00237A96" w:rsidRPr="005465AA" w:rsidRDefault="00237A96" w:rsidP="00F448B0">
      <w:pPr>
        <w:pBdr>
          <w:top w:val="single" w:sz="4" w:space="1" w:color="auto"/>
          <w:bottom w:val="single" w:sz="4" w:space="1" w:color="auto"/>
        </w:pBdr>
        <w:tabs>
          <w:tab w:val="left" w:pos="1584"/>
          <w:tab w:val="center" w:pos="4680"/>
        </w:tabs>
        <w:spacing w:after="0" w:line="240" w:lineRule="auto"/>
        <w:jc w:val="center"/>
        <w:rPr>
          <w:rFonts w:ascii="Century Gothic" w:hAnsi="Century Gothic"/>
          <w:b/>
          <w:bCs/>
          <w:sz w:val="24"/>
          <w:szCs w:val="24"/>
        </w:rPr>
      </w:pPr>
      <w:r>
        <w:rPr>
          <w:rFonts w:ascii="Century Gothic" w:hAnsi="Century Gothic"/>
          <w:b/>
          <w:bCs/>
          <w:sz w:val="24"/>
          <w:szCs w:val="24"/>
        </w:rPr>
        <w:t>January 1</w:t>
      </w:r>
      <w:r w:rsidR="00FC6C48">
        <w:rPr>
          <w:rFonts w:ascii="Century Gothic" w:hAnsi="Century Gothic"/>
          <w:b/>
          <w:bCs/>
          <w:sz w:val="24"/>
          <w:szCs w:val="24"/>
        </w:rPr>
        <w:t>5</w:t>
      </w:r>
      <w:r>
        <w:rPr>
          <w:rFonts w:ascii="Century Gothic" w:hAnsi="Century Gothic"/>
          <w:b/>
          <w:bCs/>
          <w:sz w:val="24"/>
          <w:szCs w:val="24"/>
        </w:rPr>
        <w:t>, 2020</w:t>
      </w:r>
    </w:p>
    <w:p w14:paraId="04CBF307" w14:textId="77777777" w:rsidR="00237A96" w:rsidRPr="001377D8" w:rsidRDefault="00237A96" w:rsidP="00F448B0">
      <w:pPr>
        <w:spacing w:after="0" w:line="240" w:lineRule="auto"/>
        <w:ind w:firstLine="720"/>
        <w:rPr>
          <w:b/>
        </w:rPr>
      </w:pPr>
    </w:p>
    <w:p w14:paraId="1713C079" w14:textId="6EC5FB08" w:rsidR="005542F8" w:rsidRPr="000806A5" w:rsidRDefault="003F3E77" w:rsidP="00F448B0">
      <w:pPr>
        <w:spacing w:after="0" w:line="240" w:lineRule="auto"/>
        <w:rPr>
          <w:sz w:val="32"/>
          <w:szCs w:val="32"/>
        </w:rPr>
      </w:pPr>
      <w:r w:rsidRPr="000806A5">
        <w:rPr>
          <w:b/>
          <w:sz w:val="32"/>
          <w:szCs w:val="32"/>
        </w:rPr>
        <w:t>Overview</w:t>
      </w:r>
    </w:p>
    <w:p w14:paraId="5FCE0F19" w14:textId="085F9628" w:rsidR="00CE283E" w:rsidRDefault="00CE283E" w:rsidP="00F448B0">
      <w:pPr>
        <w:spacing w:after="0" w:line="240" w:lineRule="auto"/>
      </w:pPr>
      <w:r w:rsidRPr="00EC0D4B">
        <w:t>California Senate Bill 50 (SB</w:t>
      </w:r>
      <w:r>
        <w:t xml:space="preserve"> </w:t>
      </w:r>
      <w:r w:rsidRPr="00EC0D4B">
        <w:t xml:space="preserve">50) proposes to increase statewide housing production by </w:t>
      </w:r>
      <w:r>
        <w:t xml:space="preserve">making </w:t>
      </w:r>
      <w:r w:rsidR="007C3BC8">
        <w:t>three</w:t>
      </w:r>
      <w:r>
        <w:t xml:space="preserve"> changes</w:t>
      </w:r>
      <w:r w:rsidR="00EB3A7A">
        <w:t>.</w:t>
      </w:r>
    </w:p>
    <w:p w14:paraId="4578DD2D" w14:textId="77777777" w:rsidR="008D25BA" w:rsidRDefault="008D25BA" w:rsidP="00F448B0">
      <w:pPr>
        <w:spacing w:after="0" w:line="240" w:lineRule="auto"/>
      </w:pPr>
    </w:p>
    <w:p w14:paraId="0E8DA2CD" w14:textId="6CF9ED41" w:rsidR="00EB3A7A" w:rsidRDefault="00EB3A7A" w:rsidP="00F448B0">
      <w:pPr>
        <w:pStyle w:val="ListParagraph"/>
        <w:numPr>
          <w:ilvl w:val="0"/>
          <w:numId w:val="27"/>
        </w:numPr>
        <w:spacing w:after="0" w:line="240" w:lineRule="auto"/>
      </w:pPr>
      <w:r>
        <w:rPr>
          <w:b/>
          <w:bCs/>
        </w:rPr>
        <w:t>Allowing Developers to Subdivide</w:t>
      </w:r>
      <w:r w:rsidR="008D25BA" w:rsidRPr="008D25BA">
        <w:rPr>
          <w:b/>
          <w:bCs/>
        </w:rPr>
        <w:t xml:space="preserve"> Singl</w:t>
      </w:r>
      <w:r w:rsidR="008D25BA">
        <w:rPr>
          <w:b/>
          <w:bCs/>
        </w:rPr>
        <w:t>e</w:t>
      </w:r>
      <w:r w:rsidR="008D25BA" w:rsidRPr="008D25BA">
        <w:rPr>
          <w:b/>
          <w:bCs/>
        </w:rPr>
        <w:t xml:space="preserve"> Family </w:t>
      </w:r>
      <w:r>
        <w:rPr>
          <w:b/>
          <w:bCs/>
        </w:rPr>
        <w:t xml:space="preserve">Homes </w:t>
      </w:r>
      <w:r w:rsidR="008D25BA">
        <w:rPr>
          <w:b/>
          <w:bCs/>
        </w:rPr>
        <w:t xml:space="preserve">and </w:t>
      </w:r>
      <w:r>
        <w:rPr>
          <w:b/>
          <w:bCs/>
        </w:rPr>
        <w:t xml:space="preserve">Build Small Multiplexes on </w:t>
      </w:r>
      <w:r w:rsidR="008D25BA">
        <w:rPr>
          <w:b/>
          <w:bCs/>
        </w:rPr>
        <w:t xml:space="preserve">Vacant </w:t>
      </w:r>
      <w:r w:rsidR="008D25BA" w:rsidRPr="008D25BA">
        <w:rPr>
          <w:b/>
          <w:bCs/>
        </w:rPr>
        <w:t>Lots</w:t>
      </w:r>
      <w:r w:rsidR="008D25BA">
        <w:t xml:space="preserve">: </w:t>
      </w:r>
      <w:r>
        <w:t xml:space="preserve">Throughout San </w:t>
      </w:r>
      <w:r w:rsidR="007C3BC8">
        <w:t>Mateo</w:t>
      </w:r>
      <w:r>
        <w:t xml:space="preserve"> County, the bill allows</w:t>
      </w:r>
      <w:r w:rsidR="00470445">
        <w:t xml:space="preserve"> existing structures, such as </w:t>
      </w:r>
      <w:proofErr w:type="gramStart"/>
      <w:r w:rsidR="008D25BA">
        <w:t>single family</w:t>
      </w:r>
      <w:proofErr w:type="gramEnd"/>
      <w:r w:rsidR="00470445">
        <w:t xml:space="preserve"> homes, to be converted to duplexes, triplexes or fourplexes if the exterior does not change substantially</w:t>
      </w:r>
      <w:r w:rsidR="00130BA1">
        <w:t xml:space="preserve"> and the developer follows</w:t>
      </w:r>
      <w:r w:rsidR="009A3AE0">
        <w:t xml:space="preserve"> </w:t>
      </w:r>
      <w:r w:rsidR="00130BA1" w:rsidRPr="008D25BA">
        <w:rPr>
          <w:iCs/>
        </w:rPr>
        <w:t xml:space="preserve">objective </w:t>
      </w:r>
      <w:r w:rsidR="00130BA1">
        <w:t>standards</w:t>
      </w:r>
      <w:r w:rsidR="00470445">
        <w:t xml:space="preserve">. </w:t>
      </w:r>
      <w:r w:rsidR="008D25BA">
        <w:t>D</w:t>
      </w:r>
      <w:r w:rsidR="00130BA1">
        <w:t>evelopers may</w:t>
      </w:r>
      <w:r w:rsidR="008D25BA">
        <w:t xml:space="preserve"> also</w:t>
      </w:r>
      <w:r w:rsidR="00130BA1">
        <w:t xml:space="preserve"> build </w:t>
      </w:r>
      <w:r w:rsidR="00470445">
        <w:t>two</w:t>
      </w:r>
      <w:r w:rsidR="000805E2">
        <w:t>-</w:t>
      </w:r>
      <w:r w:rsidR="00470445">
        <w:t xml:space="preserve"> to </w:t>
      </w:r>
      <w:r w:rsidR="000805E2">
        <w:t>four-unit</w:t>
      </w:r>
      <w:r w:rsidR="00470445">
        <w:t xml:space="preserve"> buildings on vacant parcels</w:t>
      </w:r>
      <w:r w:rsidR="00130BA1">
        <w:t xml:space="preserve"> if they follow objective standards</w:t>
      </w:r>
      <w:r w:rsidR="00470445">
        <w:t xml:space="preserve">. </w:t>
      </w:r>
      <w:r w:rsidR="00130BA1">
        <w:t xml:space="preserve">These are referred to as </w:t>
      </w:r>
      <w:r w:rsidR="00130BA1" w:rsidRPr="00011C27">
        <w:rPr>
          <w:b/>
          <w:i/>
          <w:iCs/>
        </w:rPr>
        <w:t>Neighborhood Multifamily</w:t>
      </w:r>
      <w:r w:rsidR="00130BA1">
        <w:t xml:space="preserve"> projects.</w:t>
      </w:r>
      <w:r>
        <w:t xml:space="preserve"> </w:t>
      </w:r>
    </w:p>
    <w:p w14:paraId="261ECA4E" w14:textId="3879473D" w:rsidR="00EB3A7A" w:rsidRDefault="00EB3A7A" w:rsidP="00F448B0">
      <w:pPr>
        <w:pStyle w:val="ListParagraph"/>
        <w:tabs>
          <w:tab w:val="left" w:pos="6996"/>
        </w:tabs>
        <w:spacing w:after="0" w:line="240" w:lineRule="auto"/>
      </w:pPr>
      <w:r>
        <w:tab/>
      </w:r>
    </w:p>
    <w:p w14:paraId="69A27419" w14:textId="6A550730" w:rsidR="00130BA1" w:rsidRDefault="00EB3A7A" w:rsidP="00F448B0">
      <w:pPr>
        <w:pStyle w:val="ListParagraph"/>
        <w:numPr>
          <w:ilvl w:val="0"/>
          <w:numId w:val="29"/>
        </w:numPr>
        <w:spacing w:after="0" w:line="240" w:lineRule="auto"/>
      </w:pPr>
      <w:r>
        <w:rPr>
          <w:b/>
        </w:rPr>
        <w:t>Waiving Limits on Number</w:t>
      </w:r>
      <w:r w:rsidR="009A3AE0">
        <w:rPr>
          <w:b/>
        </w:rPr>
        <w:t xml:space="preserve"> </w:t>
      </w:r>
      <w:r>
        <w:rPr>
          <w:b/>
        </w:rPr>
        <w:t xml:space="preserve">of Units in </w:t>
      </w:r>
      <w:r w:rsidR="009A3AE0">
        <w:rPr>
          <w:b/>
        </w:rPr>
        <w:t>Areas with High Job Concentration</w:t>
      </w:r>
      <w:r>
        <w:rPr>
          <w:b/>
        </w:rPr>
        <w:t xml:space="preserve">: </w:t>
      </w:r>
      <w:r w:rsidR="009A3AE0">
        <w:t>Qualifying residential projects in areas with high job concentration</w:t>
      </w:r>
      <w:r>
        <w:t xml:space="preserve"> </w:t>
      </w:r>
      <w:r w:rsidR="009A3AE0">
        <w:t>–</w:t>
      </w:r>
      <w:r>
        <w:t xml:space="preserve"> yet to be defined</w:t>
      </w:r>
      <w:r w:rsidR="009A3AE0">
        <w:t xml:space="preserve"> </w:t>
      </w:r>
      <w:r w:rsidR="001377D8">
        <w:t>– would</w:t>
      </w:r>
      <w:r>
        <w:t xml:space="preserve"> not be evaluated by how many units they are proposing. The developments would still have to follow objective criteria in the zoning code, like height, setback</w:t>
      </w:r>
      <w:r w:rsidR="009A3AE0">
        <w:t xml:space="preserve"> and</w:t>
      </w:r>
      <w:r>
        <w:t xml:space="preserve"> floor are ratio. These are referred to as </w:t>
      </w:r>
      <w:r w:rsidRPr="00011C27">
        <w:rPr>
          <w:b/>
          <w:i/>
          <w:iCs/>
        </w:rPr>
        <w:t>Equitable Communities Incentives – Job Rich</w:t>
      </w:r>
      <w:r w:rsidR="009A3AE0">
        <w:rPr>
          <w:color w:val="00B0F0"/>
        </w:rPr>
        <w:t>.</w:t>
      </w:r>
    </w:p>
    <w:p w14:paraId="4D7341D2" w14:textId="77777777" w:rsidR="008D25BA" w:rsidRDefault="008D25BA" w:rsidP="00F448B0">
      <w:pPr>
        <w:pStyle w:val="ListParagraph"/>
        <w:spacing w:after="0" w:line="240" w:lineRule="auto"/>
      </w:pPr>
    </w:p>
    <w:p w14:paraId="122B5D4B" w14:textId="69D15A98" w:rsidR="00CE283E" w:rsidRPr="009C59BD" w:rsidRDefault="00CE283E" w:rsidP="00F448B0">
      <w:pPr>
        <w:pStyle w:val="ListParagraph"/>
        <w:numPr>
          <w:ilvl w:val="0"/>
          <w:numId w:val="29"/>
        </w:numPr>
        <w:spacing w:after="0" w:line="240" w:lineRule="auto"/>
      </w:pPr>
      <w:r w:rsidRPr="00CE283E">
        <w:rPr>
          <w:b/>
          <w:bCs/>
        </w:rPr>
        <w:t xml:space="preserve">More </w:t>
      </w:r>
      <w:r w:rsidR="009A3AE0">
        <w:rPr>
          <w:b/>
          <w:bCs/>
        </w:rPr>
        <w:t>H</w:t>
      </w:r>
      <w:r w:rsidRPr="00CE283E">
        <w:rPr>
          <w:b/>
          <w:bCs/>
        </w:rPr>
        <w:t xml:space="preserve">omes and </w:t>
      </w:r>
      <w:r w:rsidR="009A3AE0">
        <w:rPr>
          <w:b/>
          <w:bCs/>
        </w:rPr>
        <w:t>H</w:t>
      </w:r>
      <w:r w:rsidRPr="00CE283E">
        <w:rPr>
          <w:b/>
          <w:bCs/>
        </w:rPr>
        <w:t xml:space="preserve">igher </w:t>
      </w:r>
      <w:r w:rsidR="009A3AE0">
        <w:rPr>
          <w:b/>
          <w:bCs/>
        </w:rPr>
        <w:t>B</w:t>
      </w:r>
      <w:r w:rsidRPr="00CE283E">
        <w:rPr>
          <w:b/>
          <w:bCs/>
        </w:rPr>
        <w:t xml:space="preserve">uilding </w:t>
      </w:r>
      <w:r w:rsidR="009A3AE0">
        <w:rPr>
          <w:b/>
          <w:bCs/>
        </w:rPr>
        <w:t>H</w:t>
      </w:r>
      <w:r w:rsidRPr="00CE283E">
        <w:rPr>
          <w:b/>
          <w:bCs/>
        </w:rPr>
        <w:t xml:space="preserve">eight </w:t>
      </w:r>
      <w:r w:rsidR="009A3AE0">
        <w:rPr>
          <w:b/>
          <w:bCs/>
        </w:rPr>
        <w:t>Near T</w:t>
      </w:r>
      <w:r w:rsidRPr="00CE283E">
        <w:rPr>
          <w:b/>
          <w:bCs/>
        </w:rPr>
        <w:t>ransit</w:t>
      </w:r>
      <w:r w:rsidR="008D25BA" w:rsidRPr="00CE283E">
        <w:rPr>
          <w:b/>
          <w:bCs/>
        </w:rPr>
        <w:t>:</w:t>
      </w:r>
      <w:r w:rsidR="008D25BA">
        <w:t xml:space="preserve"> </w:t>
      </w:r>
      <w:r w:rsidR="00EB3A7A">
        <w:t xml:space="preserve"> Q</w:t>
      </w:r>
      <w:r w:rsidR="00692A35" w:rsidRPr="00EC0D4B">
        <w:t xml:space="preserve">ualifying residential projects </w:t>
      </w:r>
      <w:r w:rsidR="00506C49">
        <w:t xml:space="preserve">that are </w:t>
      </w:r>
      <w:r w:rsidR="007C3BC8">
        <w:t>near</w:t>
      </w:r>
      <w:r w:rsidR="00506C49">
        <w:t xml:space="preserve"> </w:t>
      </w:r>
      <w:r w:rsidR="00653A75">
        <w:t>Bart, Cal</w:t>
      </w:r>
      <w:r w:rsidR="009A3AE0">
        <w:t>t</w:t>
      </w:r>
      <w:r w:rsidR="00653A75">
        <w:t xml:space="preserve">rain or Ferry stations </w:t>
      </w:r>
      <w:r w:rsidR="00EB3A7A">
        <w:t>would be entitled to some</w:t>
      </w:r>
      <w:r w:rsidR="000D15AD">
        <w:t xml:space="preserve"> combination of </w:t>
      </w:r>
      <w:r w:rsidR="00506C49">
        <w:t xml:space="preserve">increased height, more </w:t>
      </w:r>
      <w:r w:rsidR="00506C49" w:rsidRPr="00FC6C48">
        <w:t>floor area ratio</w:t>
      </w:r>
      <w:r w:rsidR="009A3AE0" w:rsidRPr="00FC6C48">
        <w:t xml:space="preserve"> and units</w:t>
      </w:r>
      <w:r w:rsidR="00506C49" w:rsidRPr="00FC6C48">
        <w:t>, lower parking standard</w:t>
      </w:r>
      <w:r w:rsidR="00EC6040" w:rsidRPr="00FC6C48">
        <w:t>s</w:t>
      </w:r>
      <w:r w:rsidR="009A3AE0" w:rsidRPr="00FC6C48">
        <w:t xml:space="preserve"> </w:t>
      </w:r>
      <w:r w:rsidR="00506C49" w:rsidRPr="00FC6C48">
        <w:t>and other incentives under the Density Bonus</w:t>
      </w:r>
      <w:r w:rsidR="00506C49">
        <w:t xml:space="preserve"> law.</w:t>
      </w:r>
      <w:r w:rsidR="00EC6040">
        <w:t xml:space="preserve"> </w:t>
      </w:r>
      <w:r w:rsidR="00506C49">
        <w:t xml:space="preserve">These are referred to as </w:t>
      </w:r>
      <w:r w:rsidR="00EC6040" w:rsidRPr="00011C27">
        <w:rPr>
          <w:b/>
          <w:i/>
          <w:iCs/>
        </w:rPr>
        <w:t>E</w:t>
      </w:r>
      <w:r w:rsidR="00506C49" w:rsidRPr="00011C27">
        <w:rPr>
          <w:b/>
          <w:i/>
          <w:iCs/>
        </w:rPr>
        <w:t xml:space="preserve">quitable </w:t>
      </w:r>
      <w:r w:rsidR="00EC6040" w:rsidRPr="00011C27">
        <w:rPr>
          <w:b/>
          <w:i/>
          <w:iCs/>
        </w:rPr>
        <w:t>C</w:t>
      </w:r>
      <w:r w:rsidR="00836C5F" w:rsidRPr="00011C27">
        <w:rPr>
          <w:b/>
          <w:i/>
          <w:iCs/>
        </w:rPr>
        <w:t>ommunities</w:t>
      </w:r>
      <w:r w:rsidR="00506C49" w:rsidRPr="00011C27">
        <w:rPr>
          <w:b/>
          <w:i/>
          <w:iCs/>
        </w:rPr>
        <w:t xml:space="preserve"> </w:t>
      </w:r>
      <w:r w:rsidR="00EC6040" w:rsidRPr="00011C27">
        <w:rPr>
          <w:b/>
          <w:i/>
          <w:iCs/>
        </w:rPr>
        <w:t>I</w:t>
      </w:r>
      <w:r w:rsidR="00506C49" w:rsidRPr="00011C27">
        <w:rPr>
          <w:b/>
          <w:i/>
          <w:iCs/>
        </w:rPr>
        <w:t>ncentives</w:t>
      </w:r>
      <w:r w:rsidR="00EB3A7A" w:rsidRPr="00011C27">
        <w:rPr>
          <w:b/>
          <w:i/>
          <w:iCs/>
        </w:rPr>
        <w:t xml:space="preserve"> – Transit Rich</w:t>
      </w:r>
      <w:r w:rsidR="009A3AE0">
        <w:rPr>
          <w:bCs/>
          <w:i/>
          <w:iCs/>
        </w:rPr>
        <w:t>.</w:t>
      </w:r>
      <w:r>
        <w:rPr>
          <w:color w:val="00B0F0"/>
        </w:rPr>
        <w:t xml:space="preserve"> </w:t>
      </w:r>
    </w:p>
    <w:p w14:paraId="67EFE6E5" w14:textId="77777777" w:rsidR="00CD760C" w:rsidRPr="009C59BD" w:rsidRDefault="00CD760C" w:rsidP="00F448B0">
      <w:pPr>
        <w:pStyle w:val="ListParagraph"/>
        <w:spacing w:after="0" w:line="240" w:lineRule="auto"/>
      </w:pPr>
    </w:p>
    <w:p w14:paraId="6FCBB4D9" w14:textId="07C6BF1E" w:rsidR="00CD760C" w:rsidRPr="009C59BD" w:rsidRDefault="00CD760C" w:rsidP="00F448B0">
      <w:pPr>
        <w:spacing w:after="0" w:line="240" w:lineRule="auto"/>
        <w:rPr>
          <w:color w:val="00B0F0"/>
        </w:rPr>
      </w:pPr>
      <w:r w:rsidRPr="009C59BD">
        <w:rPr>
          <w:color w:val="00B0F0"/>
        </w:rPr>
        <w:t>The 2020 amendments</w:t>
      </w:r>
      <w:r w:rsidR="00A94968">
        <w:rPr>
          <w:color w:val="00B0F0"/>
        </w:rPr>
        <w:t xml:space="preserve"> – reflected by blue text – </w:t>
      </w:r>
      <w:r w:rsidR="00A94968" w:rsidRPr="00A94968">
        <w:rPr>
          <w:color w:val="00B0F0"/>
        </w:rPr>
        <w:t>give</w:t>
      </w:r>
      <w:r w:rsidRPr="009C59BD">
        <w:rPr>
          <w:color w:val="00B0F0"/>
        </w:rPr>
        <w:t xml:space="preserve"> cities significantly more flexibility. Rather than having to follow the default rules</w:t>
      </w:r>
      <w:r w:rsidR="00A94968">
        <w:rPr>
          <w:color w:val="00B0F0"/>
        </w:rPr>
        <w:t xml:space="preserve"> below</w:t>
      </w:r>
      <w:r w:rsidR="001377D8">
        <w:rPr>
          <w:color w:val="00B0F0"/>
        </w:rPr>
        <w:t xml:space="preserve"> (See Table 1)</w:t>
      </w:r>
      <w:r w:rsidRPr="009C59BD">
        <w:rPr>
          <w:color w:val="00B0F0"/>
        </w:rPr>
        <w:t>, cities can craft their own plans to increase density near jobs or transit.</w:t>
      </w:r>
    </w:p>
    <w:p w14:paraId="4A6A6C5B" w14:textId="77777777" w:rsidR="00CD760C" w:rsidRDefault="00CD760C" w:rsidP="00F448B0">
      <w:pPr>
        <w:spacing w:after="0" w:line="240" w:lineRule="auto"/>
      </w:pPr>
    </w:p>
    <w:p w14:paraId="38856605" w14:textId="590D7704" w:rsidR="00CD760C" w:rsidRDefault="00CD760C" w:rsidP="00F448B0">
      <w:pPr>
        <w:spacing w:after="0" w:line="240" w:lineRule="auto"/>
      </w:pPr>
      <w:r>
        <w:t xml:space="preserve">If the bill passes, jurisdictions in San Mateo County will likely see taller, denser development near BART, ferry and Caltrain stops over time. In other areas, there may be more homes as single family homes or vacant lots convert to multifamily developments, with no significant change to the physical form, such as height and setbacks. </w:t>
      </w:r>
      <w:r w:rsidRPr="001377D8">
        <w:rPr>
          <w:color w:val="00B0F0"/>
        </w:rPr>
        <w:t>These changes w</w:t>
      </w:r>
      <w:r w:rsidR="009C59BD" w:rsidRPr="001377D8">
        <w:rPr>
          <w:color w:val="00B0F0"/>
        </w:rPr>
        <w:t>ould not go into effect</w:t>
      </w:r>
      <w:r w:rsidRPr="001377D8">
        <w:rPr>
          <w:color w:val="00B0F0"/>
        </w:rPr>
        <w:t xml:space="preserve"> until J</w:t>
      </w:r>
      <w:r w:rsidR="009C59BD" w:rsidRPr="001377D8">
        <w:rPr>
          <w:color w:val="00B0F0"/>
        </w:rPr>
        <w:t>anuary</w:t>
      </w:r>
      <w:r w:rsidRPr="001377D8">
        <w:rPr>
          <w:color w:val="00B0F0"/>
        </w:rPr>
        <w:t xml:space="preserve"> 2023, or for sensitive communities, January 2026.</w:t>
      </w:r>
    </w:p>
    <w:p w14:paraId="38E7F5BD" w14:textId="77777777" w:rsidR="00CD760C" w:rsidRPr="009C59BD" w:rsidRDefault="00CD760C" w:rsidP="00F448B0">
      <w:pPr>
        <w:spacing w:after="0" w:line="240" w:lineRule="auto"/>
      </w:pPr>
    </w:p>
    <w:p w14:paraId="1C73A3FC" w14:textId="77777777" w:rsidR="00F448B0" w:rsidRDefault="00F448B0" w:rsidP="00F448B0">
      <w:pPr>
        <w:tabs>
          <w:tab w:val="left" w:pos="4950"/>
        </w:tabs>
        <w:spacing w:after="0" w:line="240" w:lineRule="auto"/>
        <w:rPr>
          <w:b/>
          <w:bCs/>
          <w:sz w:val="32"/>
          <w:szCs w:val="32"/>
        </w:rPr>
      </w:pPr>
      <w:r w:rsidRPr="007505E0">
        <w:rPr>
          <w:b/>
          <w:bCs/>
          <w:color w:val="00B0F0"/>
          <w:sz w:val="32"/>
          <w:szCs w:val="32"/>
        </w:rPr>
        <w:t>Local Flexibility Plans</w:t>
      </w:r>
      <w:r>
        <w:rPr>
          <w:b/>
          <w:bCs/>
          <w:sz w:val="32"/>
          <w:szCs w:val="32"/>
        </w:rPr>
        <w:t xml:space="preserve"> </w:t>
      </w:r>
    </w:p>
    <w:p w14:paraId="1B66AB41" w14:textId="77777777" w:rsidR="00F448B0" w:rsidRPr="00A94BEF" w:rsidRDefault="00F448B0" w:rsidP="00F448B0">
      <w:pPr>
        <w:spacing w:after="0" w:line="240" w:lineRule="auto"/>
        <w:rPr>
          <w:b/>
          <w:bCs/>
          <w:sz w:val="32"/>
          <w:szCs w:val="32"/>
        </w:rPr>
      </w:pPr>
      <w:r>
        <w:rPr>
          <w:color w:val="00B0F0"/>
        </w:rPr>
        <w:t>As</w:t>
      </w:r>
      <w:r w:rsidRPr="007505E0">
        <w:rPr>
          <w:color w:val="00B0F0"/>
        </w:rPr>
        <w:t xml:space="preserve"> of the January </w:t>
      </w:r>
      <w:r>
        <w:rPr>
          <w:color w:val="00B0F0"/>
        </w:rPr>
        <w:t xml:space="preserve">6, 2020 </w:t>
      </w:r>
      <w:r w:rsidRPr="007505E0">
        <w:rPr>
          <w:color w:val="00B0F0"/>
        </w:rPr>
        <w:t xml:space="preserve">revisions, jurisdictions are now allowed to create their own plan for increasing development near jobs and transit, referred to as a </w:t>
      </w:r>
      <w:r w:rsidRPr="007505E0">
        <w:rPr>
          <w:i/>
          <w:iCs/>
          <w:color w:val="00B0F0"/>
        </w:rPr>
        <w:t>Local Flexibility Plan</w:t>
      </w:r>
      <w:r w:rsidRPr="007505E0">
        <w:rPr>
          <w:color w:val="00B0F0"/>
        </w:rPr>
        <w:t xml:space="preserve">. Density must meet or exceed SB 50 in a way that reduces driving and affirmatively furthers fair housing, but cities and counties </w:t>
      </w:r>
      <w:r>
        <w:rPr>
          <w:color w:val="00B0F0"/>
        </w:rPr>
        <w:t>could</w:t>
      </w:r>
      <w:r w:rsidRPr="007505E0">
        <w:rPr>
          <w:color w:val="00B0F0"/>
        </w:rPr>
        <w:t xml:space="preserve"> use their discretion </w:t>
      </w:r>
      <w:r>
        <w:rPr>
          <w:color w:val="00B0F0"/>
        </w:rPr>
        <w:t>about the specific changes to make</w:t>
      </w:r>
      <w:r w:rsidRPr="007505E0">
        <w:rPr>
          <w:color w:val="00B0F0"/>
        </w:rPr>
        <w:t xml:space="preserve">. For example, a city could allow up to six-story buildings on streets facing BART or Caltrain stations and step down to four-story buildings a block away, instead of allowing five-story heights </w:t>
      </w:r>
      <w:r>
        <w:rPr>
          <w:color w:val="00B0F0"/>
        </w:rPr>
        <w:t>for all buildings within a quarter mile</w:t>
      </w:r>
      <w:r w:rsidRPr="007505E0">
        <w:rPr>
          <w:color w:val="00B0F0"/>
        </w:rPr>
        <w:t xml:space="preserve">, which the previous version of the bill required. </w:t>
      </w:r>
      <w:r>
        <w:rPr>
          <w:color w:val="00B0F0"/>
        </w:rPr>
        <w:t xml:space="preserve">Additionally, cities could exempt some neighborhoods entirely. </w:t>
      </w:r>
      <w:r w:rsidRPr="007505E0">
        <w:rPr>
          <w:color w:val="00B0F0"/>
        </w:rPr>
        <w:t>Plan applications will be accepted beginning July 2021. Jurisdictions that do not complete a local flexibility plan by the July 2023 deadline will default to SB 50.</w:t>
      </w:r>
    </w:p>
    <w:p w14:paraId="4CC492A3" w14:textId="77777777" w:rsidR="00F448B0" w:rsidRPr="007505E0" w:rsidRDefault="00F448B0" w:rsidP="00F448B0">
      <w:pPr>
        <w:spacing w:after="0" w:line="240" w:lineRule="auto"/>
        <w:rPr>
          <w:color w:val="00B0F0"/>
        </w:rPr>
      </w:pPr>
    </w:p>
    <w:p w14:paraId="2C3A4FA2" w14:textId="77777777" w:rsidR="00F448B0" w:rsidRDefault="00F448B0" w:rsidP="00F448B0">
      <w:pPr>
        <w:spacing w:after="0" w:line="240" w:lineRule="auto"/>
      </w:pPr>
      <w:r w:rsidRPr="007505E0">
        <w:rPr>
          <w:color w:val="00B0F0"/>
        </w:rPr>
        <w:t>The Governor’s Office of Planning and Research (OPR) is charged with developing the guidelines for local flexibility plans</w:t>
      </w:r>
      <w:r>
        <w:rPr>
          <w:color w:val="00B0F0"/>
        </w:rPr>
        <w:t xml:space="preserve"> in</w:t>
      </w:r>
      <w:r w:rsidRPr="007505E0">
        <w:rPr>
          <w:color w:val="00B0F0"/>
        </w:rPr>
        <w:t xml:space="preserve"> consultation with the Department of Housing and Community Development (HCD) on or before July 1, 2021.</w:t>
      </w:r>
      <w:r w:rsidRPr="007505E0">
        <w:rPr>
          <w:vanish/>
        </w:rPr>
        <w:t>DHCDHXD</w:t>
      </w:r>
    </w:p>
    <w:p w14:paraId="31482410" w14:textId="77777777" w:rsidR="00F448B0" w:rsidRDefault="00F448B0" w:rsidP="00F448B0">
      <w:pPr>
        <w:spacing w:after="0" w:line="240" w:lineRule="auto"/>
      </w:pPr>
    </w:p>
    <w:p w14:paraId="3AF4226D" w14:textId="716A2D51" w:rsidR="00481021" w:rsidRPr="00F448B0" w:rsidRDefault="00D46872" w:rsidP="00F448B0">
      <w:pPr>
        <w:spacing w:after="0" w:line="240" w:lineRule="auto"/>
      </w:pPr>
      <w:r>
        <w:rPr>
          <w:b/>
        </w:rPr>
        <w:t>Table 1:</w:t>
      </w:r>
      <w:r w:rsidR="00011C27">
        <w:rPr>
          <w:b/>
        </w:rPr>
        <w:t xml:space="preserve"> </w:t>
      </w:r>
      <w:r w:rsidR="00CE283E">
        <w:rPr>
          <w:b/>
        </w:rPr>
        <w:t>Standards Under SB 50</w:t>
      </w:r>
    </w:p>
    <w:tbl>
      <w:tblPr>
        <w:tblStyle w:val="PlainTable11"/>
        <w:tblpPr w:leftFromText="180" w:rightFromText="180" w:vertAnchor="text" w:tblpXSpec="center" w:tblpY="1"/>
        <w:tblOverlap w:val="never"/>
        <w:tblW w:w="9751" w:type="dxa"/>
        <w:tblLayout w:type="fixed"/>
        <w:tblLook w:val="04A0" w:firstRow="1" w:lastRow="0" w:firstColumn="1" w:lastColumn="0" w:noHBand="0" w:noVBand="1"/>
      </w:tblPr>
      <w:tblGrid>
        <w:gridCol w:w="1626"/>
        <w:gridCol w:w="1625"/>
        <w:gridCol w:w="1625"/>
        <w:gridCol w:w="1625"/>
        <w:gridCol w:w="1625"/>
        <w:gridCol w:w="1625"/>
      </w:tblGrid>
      <w:tr w:rsidR="00F448B0" w:rsidRPr="00715095" w14:paraId="0E51AD21" w14:textId="77777777" w:rsidTr="00F448B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251" w:type="dxa"/>
            <w:gridSpan w:val="2"/>
            <w:tcBorders>
              <w:top w:val="single" w:sz="4" w:space="0" w:color="auto"/>
              <w:bottom w:val="single" w:sz="4" w:space="0" w:color="auto"/>
            </w:tcBorders>
            <w:shd w:val="clear" w:color="auto" w:fill="E7E6E6" w:themeFill="background2"/>
            <w:vAlign w:val="center"/>
          </w:tcPr>
          <w:p w14:paraId="38B78B87" w14:textId="77777777" w:rsidR="001B1A4B" w:rsidRPr="00715095" w:rsidRDefault="001B1A4B" w:rsidP="00F448B0">
            <w:pPr>
              <w:jc w:val="center"/>
              <w:rPr>
                <w:sz w:val="22"/>
                <w:szCs w:val="22"/>
              </w:rPr>
            </w:pPr>
            <w:r w:rsidRPr="00715095">
              <w:rPr>
                <w:sz w:val="22"/>
                <w:szCs w:val="22"/>
              </w:rPr>
              <w:t>Qualifying Area</w:t>
            </w:r>
          </w:p>
        </w:tc>
        <w:tc>
          <w:tcPr>
            <w:tcW w:w="1625" w:type="dxa"/>
            <w:tcBorders>
              <w:top w:val="single" w:sz="4" w:space="0" w:color="auto"/>
              <w:bottom w:val="single" w:sz="4" w:space="0" w:color="auto"/>
            </w:tcBorders>
            <w:shd w:val="clear" w:color="auto" w:fill="E7E6E6" w:themeFill="background2"/>
            <w:vAlign w:val="center"/>
          </w:tcPr>
          <w:p w14:paraId="74708259" w14:textId="7F698DA5" w:rsidR="001B1A4B" w:rsidRPr="00715095" w:rsidRDefault="001B1A4B" w:rsidP="00F448B0">
            <w:pPr>
              <w:jc w:val="center"/>
              <w:cnfStyle w:val="100000000000" w:firstRow="1" w:lastRow="0" w:firstColumn="0" w:lastColumn="0" w:oddVBand="0" w:evenVBand="0" w:oddHBand="0" w:evenHBand="0" w:firstRowFirstColumn="0" w:firstRowLastColumn="0" w:lastRowFirstColumn="0" w:lastRowLastColumn="0"/>
              <w:rPr>
                <w:sz w:val="22"/>
                <w:szCs w:val="22"/>
              </w:rPr>
            </w:pPr>
            <w:r w:rsidRPr="00715095">
              <w:rPr>
                <w:sz w:val="22"/>
                <w:szCs w:val="22"/>
              </w:rPr>
              <w:t>Height Limit</w:t>
            </w:r>
          </w:p>
        </w:tc>
        <w:tc>
          <w:tcPr>
            <w:tcW w:w="1625" w:type="dxa"/>
            <w:tcBorders>
              <w:top w:val="single" w:sz="4" w:space="0" w:color="auto"/>
              <w:bottom w:val="single" w:sz="4" w:space="0" w:color="auto"/>
            </w:tcBorders>
            <w:shd w:val="clear" w:color="auto" w:fill="E7E6E6" w:themeFill="background2"/>
            <w:vAlign w:val="center"/>
          </w:tcPr>
          <w:p w14:paraId="1B45750A" w14:textId="0F6BE4E9" w:rsidR="001B1A4B" w:rsidRPr="00715095" w:rsidRDefault="001B1A4B" w:rsidP="00F448B0">
            <w:pPr>
              <w:jc w:val="center"/>
              <w:cnfStyle w:val="100000000000" w:firstRow="1" w:lastRow="0" w:firstColumn="0" w:lastColumn="0" w:oddVBand="0" w:evenVBand="0" w:oddHBand="0" w:evenHBand="0" w:firstRowFirstColumn="0" w:firstRowLastColumn="0" w:lastRowFirstColumn="0" w:lastRowLastColumn="0"/>
              <w:rPr>
                <w:sz w:val="22"/>
                <w:szCs w:val="22"/>
              </w:rPr>
            </w:pPr>
            <w:r w:rsidRPr="00715095">
              <w:rPr>
                <w:sz w:val="22"/>
                <w:szCs w:val="22"/>
              </w:rPr>
              <w:t>FAR Limit</w:t>
            </w:r>
          </w:p>
        </w:tc>
        <w:tc>
          <w:tcPr>
            <w:tcW w:w="1625" w:type="dxa"/>
            <w:tcBorders>
              <w:top w:val="single" w:sz="4" w:space="0" w:color="auto"/>
              <w:bottom w:val="single" w:sz="4" w:space="0" w:color="auto"/>
            </w:tcBorders>
            <w:shd w:val="clear" w:color="auto" w:fill="E7E6E6" w:themeFill="background2"/>
            <w:vAlign w:val="center"/>
          </w:tcPr>
          <w:p w14:paraId="52A7B8E7" w14:textId="39397CC3" w:rsidR="001B1A4B" w:rsidRPr="00715095" w:rsidRDefault="001B1A4B" w:rsidP="00F448B0">
            <w:pPr>
              <w:jc w:val="center"/>
              <w:cnfStyle w:val="100000000000" w:firstRow="1" w:lastRow="0" w:firstColumn="0" w:lastColumn="0" w:oddVBand="0" w:evenVBand="0" w:oddHBand="0" w:evenHBand="0" w:firstRowFirstColumn="0" w:firstRowLastColumn="0" w:lastRowFirstColumn="0" w:lastRowLastColumn="0"/>
              <w:rPr>
                <w:sz w:val="22"/>
                <w:szCs w:val="22"/>
              </w:rPr>
            </w:pPr>
            <w:r w:rsidRPr="00715095">
              <w:rPr>
                <w:sz w:val="22"/>
                <w:szCs w:val="22"/>
              </w:rPr>
              <w:t>Parking Requirements</w:t>
            </w:r>
          </w:p>
        </w:tc>
        <w:tc>
          <w:tcPr>
            <w:tcW w:w="1625" w:type="dxa"/>
            <w:tcBorders>
              <w:top w:val="single" w:sz="4" w:space="0" w:color="auto"/>
              <w:bottom w:val="single" w:sz="4" w:space="0" w:color="auto"/>
            </w:tcBorders>
            <w:shd w:val="clear" w:color="auto" w:fill="E7E6E6" w:themeFill="background2"/>
            <w:vAlign w:val="center"/>
          </w:tcPr>
          <w:p w14:paraId="076D5F92" w14:textId="77777777" w:rsidR="001B1A4B" w:rsidRPr="00715095" w:rsidRDefault="001B1A4B" w:rsidP="00F448B0">
            <w:pPr>
              <w:jc w:val="center"/>
              <w:cnfStyle w:val="100000000000" w:firstRow="1" w:lastRow="0" w:firstColumn="0" w:lastColumn="0" w:oddVBand="0" w:evenVBand="0" w:oddHBand="0" w:evenHBand="0" w:firstRowFirstColumn="0" w:firstRowLastColumn="0" w:lastRowFirstColumn="0" w:lastRowLastColumn="0"/>
              <w:rPr>
                <w:sz w:val="22"/>
                <w:szCs w:val="22"/>
              </w:rPr>
            </w:pPr>
            <w:r w:rsidRPr="00715095">
              <w:rPr>
                <w:sz w:val="22"/>
                <w:szCs w:val="22"/>
              </w:rPr>
              <w:t>Density Limits</w:t>
            </w:r>
          </w:p>
        </w:tc>
      </w:tr>
      <w:tr w:rsidR="00F448B0" w:rsidRPr="00715095" w14:paraId="44BD7774" w14:textId="77777777" w:rsidTr="00F448B0">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251" w:type="dxa"/>
            <w:gridSpan w:val="2"/>
            <w:tcBorders>
              <w:top w:val="single" w:sz="4" w:space="0" w:color="auto"/>
              <w:bottom w:val="single" w:sz="4" w:space="0" w:color="auto"/>
            </w:tcBorders>
            <w:shd w:val="clear" w:color="auto" w:fill="FFFFFF" w:themeFill="background1"/>
            <w:vAlign w:val="center"/>
          </w:tcPr>
          <w:p w14:paraId="7A0926C0" w14:textId="1158EF20" w:rsidR="00147850" w:rsidRPr="00F6460E" w:rsidRDefault="003C0317" w:rsidP="00F448B0">
            <w:pPr>
              <w:jc w:val="center"/>
              <w:rPr>
                <w:b w:val="0"/>
                <w:bCs w:val="0"/>
                <w:sz w:val="6"/>
                <w:szCs w:val="6"/>
              </w:rPr>
            </w:pPr>
            <w:r>
              <w:rPr>
                <w:sz w:val="22"/>
                <w:szCs w:val="22"/>
              </w:rPr>
              <w:t xml:space="preserve">Neighborhood Multifamily </w:t>
            </w:r>
            <w:r w:rsidRPr="00237A96">
              <w:t>(</w:t>
            </w:r>
            <w:r w:rsidR="00470445" w:rsidRPr="00237A96">
              <w:t>Vacant parcels or existing structures not needing substantial exterior work</w:t>
            </w:r>
            <w:r w:rsidRPr="00237A96">
              <w:t>)</w:t>
            </w:r>
          </w:p>
        </w:tc>
        <w:tc>
          <w:tcPr>
            <w:tcW w:w="1625" w:type="dxa"/>
            <w:tcBorders>
              <w:top w:val="single" w:sz="4" w:space="0" w:color="auto"/>
              <w:bottom w:val="single" w:sz="4" w:space="0" w:color="auto"/>
            </w:tcBorders>
            <w:shd w:val="clear" w:color="auto" w:fill="FFFFFF" w:themeFill="background1"/>
            <w:vAlign w:val="center"/>
          </w:tcPr>
          <w:p w14:paraId="4C207CE0" w14:textId="3B7192C7" w:rsidR="00147850" w:rsidRPr="00147850" w:rsidRDefault="00842708"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single" w:sz="4" w:space="0" w:color="auto"/>
            </w:tcBorders>
            <w:shd w:val="clear" w:color="auto" w:fill="FFFFFF" w:themeFill="background1"/>
            <w:vAlign w:val="center"/>
          </w:tcPr>
          <w:p w14:paraId="15637139" w14:textId="0F18B742" w:rsidR="00147850" w:rsidRPr="00147850" w:rsidRDefault="00842708"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single" w:sz="4" w:space="0" w:color="auto"/>
            </w:tcBorders>
            <w:shd w:val="clear" w:color="auto" w:fill="FFFFFF" w:themeFill="background1"/>
            <w:vAlign w:val="center"/>
          </w:tcPr>
          <w:p w14:paraId="22FB5500" w14:textId="43EE8C7F" w:rsidR="00147850" w:rsidRPr="00147850" w:rsidRDefault="00147850"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 more than 0.5 space/unit</w:t>
            </w:r>
          </w:p>
        </w:tc>
        <w:tc>
          <w:tcPr>
            <w:tcW w:w="1625" w:type="dxa"/>
            <w:tcBorders>
              <w:top w:val="single" w:sz="4" w:space="0" w:color="auto"/>
              <w:bottom w:val="single" w:sz="4" w:space="0" w:color="auto"/>
            </w:tcBorders>
            <w:shd w:val="clear" w:color="auto" w:fill="FFFFFF" w:themeFill="background1"/>
            <w:vAlign w:val="center"/>
          </w:tcPr>
          <w:p w14:paraId="1EF8AACF" w14:textId="31D41546" w:rsidR="00147850" w:rsidRPr="00147850" w:rsidRDefault="00147850"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 units</w:t>
            </w:r>
            <w:r w:rsidR="00A84DF0">
              <w:rPr>
                <w:rStyle w:val="FootnoteReference"/>
                <w:sz w:val="22"/>
                <w:szCs w:val="22"/>
              </w:rPr>
              <w:footnoteReference w:id="1"/>
            </w:r>
          </w:p>
        </w:tc>
      </w:tr>
      <w:tr w:rsidR="00F448B0" w:rsidRPr="00715095" w14:paraId="1BE2E6A5" w14:textId="77777777" w:rsidTr="00F448B0">
        <w:trPr>
          <w:trHeight w:val="771"/>
        </w:trPr>
        <w:tc>
          <w:tcPr>
            <w:cnfStyle w:val="001000000000" w:firstRow="0" w:lastRow="0" w:firstColumn="1" w:lastColumn="0" w:oddVBand="0" w:evenVBand="0" w:oddHBand="0" w:evenHBand="0" w:firstRowFirstColumn="0" w:firstRowLastColumn="0" w:lastRowFirstColumn="0" w:lastRowLastColumn="0"/>
            <w:tcW w:w="3251" w:type="dxa"/>
            <w:gridSpan w:val="2"/>
            <w:tcBorders>
              <w:top w:val="single" w:sz="4" w:space="0" w:color="auto"/>
              <w:bottom w:val="single" w:sz="4" w:space="0" w:color="auto"/>
            </w:tcBorders>
            <w:shd w:val="clear" w:color="auto" w:fill="FFFFFF" w:themeFill="background1"/>
            <w:vAlign w:val="center"/>
          </w:tcPr>
          <w:p w14:paraId="379AF4F7" w14:textId="77777777" w:rsidR="001B1A4B" w:rsidRPr="00F6460E" w:rsidRDefault="001B1A4B" w:rsidP="00F448B0">
            <w:pPr>
              <w:rPr>
                <w:b w:val="0"/>
                <w:bCs w:val="0"/>
                <w:sz w:val="6"/>
                <w:szCs w:val="6"/>
              </w:rPr>
            </w:pPr>
          </w:p>
          <w:p w14:paraId="2B7AFCF1" w14:textId="1EE8621F" w:rsidR="001B1A4B" w:rsidRDefault="008D25BA" w:rsidP="00F448B0">
            <w:pPr>
              <w:jc w:val="center"/>
              <w:rPr>
                <w:b w:val="0"/>
                <w:bCs w:val="0"/>
                <w:sz w:val="22"/>
                <w:szCs w:val="22"/>
              </w:rPr>
            </w:pPr>
            <w:r>
              <w:rPr>
                <w:sz w:val="22"/>
                <w:szCs w:val="22"/>
              </w:rPr>
              <w:t xml:space="preserve">Equitable Communities Incentive - </w:t>
            </w:r>
            <w:r w:rsidR="00147850">
              <w:rPr>
                <w:sz w:val="22"/>
                <w:szCs w:val="22"/>
              </w:rPr>
              <w:t>Jobs Rich</w:t>
            </w:r>
            <w:r w:rsidR="000D15AD" w:rsidRPr="00011C27">
              <w:rPr>
                <w:rStyle w:val="FootnoteReference"/>
                <w:sz w:val="22"/>
                <w:szCs w:val="22"/>
              </w:rPr>
              <w:footnoteReference w:id="2"/>
            </w:r>
            <w:r w:rsidRPr="00011C27">
              <w:rPr>
                <w:sz w:val="22"/>
                <w:szCs w:val="22"/>
              </w:rPr>
              <w:t xml:space="preserve"> </w:t>
            </w:r>
            <w:r w:rsidR="00CE283E" w:rsidRPr="00011C27">
              <w:rPr>
                <w:rStyle w:val="FootnoteReference"/>
                <w:sz w:val="22"/>
                <w:szCs w:val="22"/>
              </w:rPr>
              <w:footnoteReference w:id="3"/>
            </w:r>
          </w:p>
          <w:p w14:paraId="28466904" w14:textId="77777777" w:rsidR="001B1A4B" w:rsidRPr="00F6460E" w:rsidRDefault="001B1A4B" w:rsidP="00F448B0">
            <w:pPr>
              <w:jc w:val="center"/>
              <w:rPr>
                <w:b w:val="0"/>
                <w:bCs w:val="0"/>
                <w:sz w:val="6"/>
                <w:szCs w:val="6"/>
              </w:rPr>
            </w:pPr>
          </w:p>
        </w:tc>
        <w:tc>
          <w:tcPr>
            <w:tcW w:w="1625" w:type="dxa"/>
            <w:tcBorders>
              <w:top w:val="single" w:sz="4" w:space="0" w:color="auto"/>
              <w:bottom w:val="single" w:sz="4" w:space="0" w:color="auto"/>
            </w:tcBorders>
            <w:shd w:val="clear" w:color="auto" w:fill="FFFFFF" w:themeFill="background1"/>
            <w:vAlign w:val="center"/>
          </w:tcPr>
          <w:p w14:paraId="30379286" w14:textId="423B2615" w:rsidR="001B1A4B" w:rsidRDefault="00842708"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single" w:sz="4" w:space="0" w:color="auto"/>
            </w:tcBorders>
            <w:shd w:val="clear" w:color="auto" w:fill="FFFFFF" w:themeFill="background1"/>
            <w:vAlign w:val="center"/>
          </w:tcPr>
          <w:p w14:paraId="5EFCF0E0" w14:textId="7230DBED" w:rsidR="001B1A4B" w:rsidRDefault="00842708"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single" w:sz="4" w:space="0" w:color="auto"/>
            </w:tcBorders>
            <w:shd w:val="clear" w:color="auto" w:fill="FFFFFF" w:themeFill="background1"/>
            <w:vAlign w:val="center"/>
          </w:tcPr>
          <w:p w14:paraId="28B1A52E" w14:textId="40B391F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 more than 0.5 space/unit</w:t>
            </w:r>
          </w:p>
        </w:tc>
        <w:tc>
          <w:tcPr>
            <w:tcW w:w="1625" w:type="dxa"/>
            <w:tcBorders>
              <w:top w:val="single" w:sz="4" w:space="0" w:color="auto"/>
              <w:bottom w:val="single" w:sz="4" w:space="0" w:color="auto"/>
            </w:tcBorders>
            <w:shd w:val="clear" w:color="auto" w:fill="FFFFFF" w:themeFill="background1"/>
            <w:vAlign w:val="center"/>
          </w:tcPr>
          <w:p w14:paraId="421AAD74" w14:textId="7777777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Waived</w:t>
            </w:r>
          </w:p>
        </w:tc>
      </w:tr>
      <w:tr w:rsidR="00F448B0" w:rsidRPr="00715095" w14:paraId="7338B4A9" w14:textId="77777777" w:rsidTr="00F448B0">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626" w:type="dxa"/>
            <w:vMerge w:val="restart"/>
            <w:tcBorders>
              <w:top w:val="single" w:sz="4" w:space="0" w:color="auto"/>
            </w:tcBorders>
            <w:shd w:val="clear" w:color="auto" w:fill="FFFFFF" w:themeFill="background1"/>
            <w:vAlign w:val="center"/>
          </w:tcPr>
          <w:p w14:paraId="3AB7EC6E" w14:textId="77777777" w:rsidR="001B1A4B" w:rsidRDefault="001B1A4B" w:rsidP="00F448B0">
            <w:pPr>
              <w:rPr>
                <w:b w:val="0"/>
                <w:bCs w:val="0"/>
                <w:sz w:val="22"/>
                <w:szCs w:val="22"/>
              </w:rPr>
            </w:pPr>
          </w:p>
          <w:p w14:paraId="43E27C01" w14:textId="77777777" w:rsidR="001B1A4B" w:rsidRDefault="001B1A4B" w:rsidP="00F448B0">
            <w:pPr>
              <w:jc w:val="center"/>
              <w:rPr>
                <w:b w:val="0"/>
                <w:bCs w:val="0"/>
                <w:sz w:val="22"/>
                <w:szCs w:val="22"/>
              </w:rPr>
            </w:pPr>
          </w:p>
          <w:p w14:paraId="7581D669" w14:textId="68126F6D" w:rsidR="001B1A4B" w:rsidRDefault="008D25BA" w:rsidP="00F448B0">
            <w:pPr>
              <w:jc w:val="center"/>
            </w:pPr>
            <w:r>
              <w:rPr>
                <w:sz w:val="22"/>
                <w:szCs w:val="22"/>
              </w:rPr>
              <w:t xml:space="preserve">Equitable Communities Incentive - </w:t>
            </w:r>
            <w:r w:rsidR="001B1A4B">
              <w:rPr>
                <w:sz w:val="22"/>
                <w:szCs w:val="22"/>
              </w:rPr>
              <w:t>Transit Rich</w:t>
            </w:r>
            <w:r w:rsidR="00CE283E" w:rsidRPr="009C59BD">
              <w:rPr>
                <w:vertAlign w:val="superscript"/>
              </w:rPr>
              <w:t>3</w:t>
            </w:r>
          </w:p>
          <w:p w14:paraId="110B73FC" w14:textId="77777777" w:rsidR="001B1A4B" w:rsidRPr="00F6460E" w:rsidRDefault="001B1A4B" w:rsidP="00F448B0">
            <w:pPr>
              <w:jc w:val="center"/>
              <w:rPr>
                <w:b w:val="0"/>
                <w:bCs w:val="0"/>
                <w:sz w:val="6"/>
                <w:szCs w:val="6"/>
              </w:rPr>
            </w:pPr>
          </w:p>
          <w:p w14:paraId="7F6D3C12" w14:textId="77777777" w:rsidR="001B1A4B" w:rsidRPr="00F6460E" w:rsidRDefault="001B1A4B" w:rsidP="00F448B0">
            <w:pPr>
              <w:jc w:val="center"/>
              <w:rPr>
                <w:b w:val="0"/>
                <w:bCs w:val="0"/>
                <w:sz w:val="6"/>
                <w:szCs w:val="6"/>
              </w:rPr>
            </w:pPr>
          </w:p>
          <w:p w14:paraId="37722F58" w14:textId="429198A3" w:rsidR="001B1A4B" w:rsidRDefault="001B1A4B" w:rsidP="00F448B0">
            <w:pPr>
              <w:jc w:val="center"/>
              <w:rPr>
                <w:b w:val="0"/>
                <w:bCs w:val="0"/>
              </w:rPr>
            </w:pPr>
          </w:p>
        </w:tc>
        <w:tc>
          <w:tcPr>
            <w:tcW w:w="1625" w:type="dxa"/>
            <w:tcBorders>
              <w:top w:val="single" w:sz="4" w:space="0" w:color="auto"/>
              <w:bottom w:val="dotted" w:sz="4" w:space="0" w:color="auto"/>
            </w:tcBorders>
            <w:shd w:val="clear" w:color="auto" w:fill="FFFFFF" w:themeFill="background1"/>
            <w:vAlign w:val="center"/>
          </w:tcPr>
          <w:p w14:paraId="5CA2B528" w14:textId="74AA6323" w:rsidR="001B1A4B" w:rsidRPr="00F54AD5" w:rsidRDefault="001B1A4B" w:rsidP="00F448B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F54AD5">
              <w:rPr>
                <w:sz w:val="16"/>
                <w:szCs w:val="16"/>
              </w:rPr>
              <w:t>¼ Mile “High Quality Bus</w:t>
            </w:r>
            <w:r w:rsidRPr="00F54AD5">
              <w:rPr>
                <w:b/>
                <w:sz w:val="16"/>
                <w:szCs w:val="16"/>
              </w:rPr>
              <w:t xml:space="preserve"> </w:t>
            </w:r>
            <w:r w:rsidRPr="00F54AD5">
              <w:rPr>
                <w:sz w:val="16"/>
                <w:szCs w:val="16"/>
              </w:rPr>
              <w:t>Corridors”</w:t>
            </w:r>
          </w:p>
        </w:tc>
        <w:tc>
          <w:tcPr>
            <w:tcW w:w="1625" w:type="dxa"/>
            <w:tcBorders>
              <w:top w:val="single" w:sz="4" w:space="0" w:color="auto"/>
              <w:bottom w:val="dotted" w:sz="4" w:space="0" w:color="auto"/>
            </w:tcBorders>
            <w:shd w:val="clear" w:color="auto" w:fill="FFFFFF" w:themeFill="background1"/>
            <w:vAlign w:val="center"/>
          </w:tcPr>
          <w:p w14:paraId="690CB8B0" w14:textId="57720D4E" w:rsidR="001B1A4B" w:rsidRDefault="00842708"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dotted" w:sz="4" w:space="0" w:color="auto"/>
            </w:tcBorders>
            <w:shd w:val="clear" w:color="auto" w:fill="FFFFFF" w:themeFill="background1"/>
            <w:vAlign w:val="center"/>
          </w:tcPr>
          <w:p w14:paraId="28162D21" w14:textId="4D754D11" w:rsidR="001B1A4B" w:rsidRDefault="00842708"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Existing city rules apply</w:t>
            </w:r>
          </w:p>
        </w:tc>
        <w:tc>
          <w:tcPr>
            <w:tcW w:w="1625" w:type="dxa"/>
            <w:tcBorders>
              <w:top w:val="single" w:sz="4" w:space="0" w:color="auto"/>
              <w:bottom w:val="dotted" w:sz="4" w:space="0" w:color="auto"/>
            </w:tcBorders>
            <w:shd w:val="clear" w:color="auto" w:fill="FFFFFF" w:themeFill="background1"/>
            <w:vAlign w:val="center"/>
          </w:tcPr>
          <w:p w14:paraId="75CE01C2" w14:textId="3FFCCFB3" w:rsidR="001B1A4B"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 more than 0.5 space/unit</w:t>
            </w:r>
          </w:p>
        </w:tc>
        <w:tc>
          <w:tcPr>
            <w:tcW w:w="1625" w:type="dxa"/>
            <w:tcBorders>
              <w:top w:val="single" w:sz="4" w:space="0" w:color="auto"/>
              <w:bottom w:val="dotted" w:sz="4" w:space="0" w:color="auto"/>
            </w:tcBorders>
            <w:shd w:val="clear" w:color="auto" w:fill="FFFFFF" w:themeFill="background1"/>
            <w:vAlign w:val="center"/>
          </w:tcPr>
          <w:p w14:paraId="7B266735" w14:textId="77777777" w:rsidR="001B1A4B"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Waived</w:t>
            </w:r>
          </w:p>
        </w:tc>
      </w:tr>
      <w:tr w:rsidR="00F448B0" w:rsidRPr="00715095" w14:paraId="44E8B4FB" w14:textId="77777777" w:rsidTr="00F448B0">
        <w:trPr>
          <w:trHeight w:val="846"/>
        </w:trPr>
        <w:tc>
          <w:tcPr>
            <w:cnfStyle w:val="001000000000" w:firstRow="0" w:lastRow="0" w:firstColumn="1" w:lastColumn="0" w:oddVBand="0" w:evenVBand="0" w:oddHBand="0" w:evenHBand="0" w:firstRowFirstColumn="0" w:firstRowLastColumn="0" w:lastRowFirstColumn="0" w:lastRowLastColumn="0"/>
            <w:tcW w:w="1626" w:type="dxa"/>
            <w:vMerge/>
            <w:shd w:val="clear" w:color="auto" w:fill="FFFFFF" w:themeFill="background1"/>
            <w:vAlign w:val="center"/>
          </w:tcPr>
          <w:p w14:paraId="25E7B159" w14:textId="6467FB1A" w:rsidR="001B1A4B" w:rsidRPr="00715095" w:rsidRDefault="001B1A4B" w:rsidP="00F448B0">
            <w:pPr>
              <w:jc w:val="center"/>
              <w:rPr>
                <w:b w:val="0"/>
                <w:bCs w:val="0"/>
              </w:rPr>
            </w:pPr>
          </w:p>
        </w:tc>
        <w:tc>
          <w:tcPr>
            <w:tcW w:w="1625" w:type="dxa"/>
            <w:tcBorders>
              <w:top w:val="dotted" w:sz="4" w:space="0" w:color="auto"/>
              <w:bottom w:val="dotted" w:sz="4" w:space="0" w:color="auto"/>
            </w:tcBorders>
            <w:shd w:val="clear" w:color="auto" w:fill="FFFFFF" w:themeFill="background1"/>
            <w:vAlign w:val="center"/>
          </w:tcPr>
          <w:p w14:paraId="4BA95758" w14:textId="0FCAAF67" w:rsidR="001B1A4B" w:rsidRPr="00F54AD5" w:rsidRDefault="001B1A4B" w:rsidP="00F448B0">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F54AD5">
              <w:rPr>
                <w:sz w:val="16"/>
                <w:szCs w:val="16"/>
              </w:rPr>
              <w:t>½ Mile Major Rail Stop or Ferry Terminal</w:t>
            </w:r>
          </w:p>
        </w:tc>
        <w:tc>
          <w:tcPr>
            <w:tcW w:w="1625" w:type="dxa"/>
            <w:tcBorders>
              <w:top w:val="dotted" w:sz="4" w:space="0" w:color="auto"/>
              <w:bottom w:val="dotted" w:sz="4" w:space="0" w:color="auto"/>
            </w:tcBorders>
            <w:shd w:val="clear" w:color="auto" w:fill="FFFFFF" w:themeFill="background1"/>
            <w:vAlign w:val="center"/>
          </w:tcPr>
          <w:p w14:paraId="3A88AFBF" w14:textId="7777777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 ft</w:t>
            </w:r>
          </w:p>
        </w:tc>
        <w:tc>
          <w:tcPr>
            <w:tcW w:w="1625" w:type="dxa"/>
            <w:tcBorders>
              <w:top w:val="dotted" w:sz="4" w:space="0" w:color="auto"/>
              <w:bottom w:val="dotted" w:sz="4" w:space="0" w:color="auto"/>
            </w:tcBorders>
            <w:shd w:val="clear" w:color="auto" w:fill="FFFFFF" w:themeFill="background1"/>
            <w:vAlign w:val="center"/>
          </w:tcPr>
          <w:p w14:paraId="28CB17FE" w14:textId="7777777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625" w:type="dxa"/>
            <w:tcBorders>
              <w:top w:val="dotted" w:sz="4" w:space="0" w:color="auto"/>
              <w:bottom w:val="dotted" w:sz="4" w:space="0" w:color="auto"/>
            </w:tcBorders>
            <w:shd w:val="clear" w:color="auto" w:fill="FFFFFF" w:themeFill="background1"/>
            <w:vAlign w:val="center"/>
          </w:tcPr>
          <w:p w14:paraId="12642A71" w14:textId="7777777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Waived</w:t>
            </w:r>
          </w:p>
        </w:tc>
        <w:tc>
          <w:tcPr>
            <w:tcW w:w="1625" w:type="dxa"/>
            <w:tcBorders>
              <w:top w:val="dotted" w:sz="4" w:space="0" w:color="auto"/>
              <w:bottom w:val="dotted" w:sz="4" w:space="0" w:color="auto"/>
            </w:tcBorders>
            <w:shd w:val="clear" w:color="auto" w:fill="FFFFFF" w:themeFill="background1"/>
            <w:vAlign w:val="center"/>
          </w:tcPr>
          <w:p w14:paraId="27BCE940" w14:textId="77777777" w:rsidR="001B1A4B" w:rsidRDefault="001B1A4B" w:rsidP="00F448B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Waived</w:t>
            </w:r>
          </w:p>
        </w:tc>
      </w:tr>
      <w:tr w:rsidR="00F448B0" w:rsidRPr="00715095" w14:paraId="7EDA32D9" w14:textId="77777777" w:rsidTr="00F448B0">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626" w:type="dxa"/>
            <w:vMerge/>
            <w:tcBorders>
              <w:bottom w:val="single" w:sz="4" w:space="0" w:color="auto"/>
            </w:tcBorders>
            <w:shd w:val="clear" w:color="auto" w:fill="FFFFFF" w:themeFill="background1"/>
            <w:vAlign w:val="center"/>
          </w:tcPr>
          <w:p w14:paraId="44FB7916" w14:textId="2F9FC7B4" w:rsidR="001B1A4B" w:rsidRPr="00715095" w:rsidRDefault="001B1A4B" w:rsidP="00F448B0">
            <w:pPr>
              <w:jc w:val="center"/>
              <w:rPr>
                <w:b w:val="0"/>
                <w:bCs w:val="0"/>
              </w:rPr>
            </w:pPr>
          </w:p>
        </w:tc>
        <w:tc>
          <w:tcPr>
            <w:tcW w:w="1625" w:type="dxa"/>
            <w:tcBorders>
              <w:top w:val="dotted" w:sz="4" w:space="0" w:color="auto"/>
              <w:bottom w:val="single" w:sz="4" w:space="0" w:color="auto"/>
            </w:tcBorders>
            <w:shd w:val="clear" w:color="auto" w:fill="FFFFFF" w:themeFill="background1"/>
            <w:vAlign w:val="center"/>
          </w:tcPr>
          <w:p w14:paraId="4AFB2117" w14:textId="55A6ABB4" w:rsidR="001B1A4B" w:rsidRPr="00F54AD5" w:rsidRDefault="001B1A4B" w:rsidP="00F448B0">
            <w:pPr>
              <w:jc w:val="center"/>
              <w:cnfStyle w:val="000000100000" w:firstRow="0" w:lastRow="0" w:firstColumn="0" w:lastColumn="0" w:oddVBand="0" w:evenVBand="0" w:oddHBand="1" w:evenHBand="0" w:firstRowFirstColumn="0" w:firstRowLastColumn="0" w:lastRowFirstColumn="0" w:lastRowLastColumn="0"/>
              <w:rPr>
                <w:sz w:val="16"/>
                <w:szCs w:val="16"/>
              </w:rPr>
            </w:pPr>
            <w:r w:rsidRPr="00F54AD5">
              <w:rPr>
                <w:sz w:val="16"/>
                <w:szCs w:val="16"/>
              </w:rPr>
              <w:t>¼ Mile Major Rail Stop or Ferry Terminal</w:t>
            </w:r>
          </w:p>
        </w:tc>
        <w:tc>
          <w:tcPr>
            <w:tcW w:w="1625" w:type="dxa"/>
            <w:tcBorders>
              <w:top w:val="dotted" w:sz="4" w:space="0" w:color="auto"/>
              <w:bottom w:val="single" w:sz="4" w:space="0" w:color="auto"/>
            </w:tcBorders>
            <w:shd w:val="clear" w:color="auto" w:fill="FFFFFF" w:themeFill="background1"/>
            <w:vAlign w:val="center"/>
          </w:tcPr>
          <w:p w14:paraId="1F31532A" w14:textId="77777777" w:rsidR="001B1A4B" w:rsidRPr="00715095"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 ft</w:t>
            </w:r>
          </w:p>
        </w:tc>
        <w:tc>
          <w:tcPr>
            <w:tcW w:w="1625" w:type="dxa"/>
            <w:tcBorders>
              <w:top w:val="dotted" w:sz="4" w:space="0" w:color="auto"/>
              <w:bottom w:val="single" w:sz="4" w:space="0" w:color="auto"/>
            </w:tcBorders>
            <w:shd w:val="clear" w:color="auto" w:fill="FFFFFF" w:themeFill="background1"/>
            <w:vAlign w:val="center"/>
          </w:tcPr>
          <w:p w14:paraId="425023A3" w14:textId="77777777" w:rsidR="001B1A4B" w:rsidRPr="00715095"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3.25</w:t>
            </w:r>
          </w:p>
        </w:tc>
        <w:tc>
          <w:tcPr>
            <w:tcW w:w="1625" w:type="dxa"/>
            <w:tcBorders>
              <w:top w:val="dotted" w:sz="4" w:space="0" w:color="auto"/>
              <w:bottom w:val="single" w:sz="4" w:space="0" w:color="auto"/>
            </w:tcBorders>
            <w:shd w:val="clear" w:color="auto" w:fill="FFFFFF" w:themeFill="background1"/>
            <w:vAlign w:val="center"/>
          </w:tcPr>
          <w:p w14:paraId="1773F298" w14:textId="77777777" w:rsidR="001B1A4B" w:rsidRPr="00715095"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Waived</w:t>
            </w:r>
          </w:p>
        </w:tc>
        <w:tc>
          <w:tcPr>
            <w:tcW w:w="1625" w:type="dxa"/>
            <w:tcBorders>
              <w:top w:val="dotted" w:sz="4" w:space="0" w:color="auto"/>
              <w:bottom w:val="single" w:sz="4" w:space="0" w:color="auto"/>
            </w:tcBorders>
            <w:shd w:val="clear" w:color="auto" w:fill="FFFFFF" w:themeFill="background1"/>
            <w:vAlign w:val="center"/>
          </w:tcPr>
          <w:p w14:paraId="562E648B" w14:textId="77777777" w:rsidR="001B1A4B" w:rsidRPr="00715095" w:rsidRDefault="001B1A4B" w:rsidP="00F448B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Waived</w:t>
            </w:r>
          </w:p>
        </w:tc>
      </w:tr>
    </w:tbl>
    <w:p w14:paraId="513D31F8" w14:textId="77777777" w:rsidR="00F448B0" w:rsidRDefault="00F448B0" w:rsidP="00F448B0">
      <w:pPr>
        <w:spacing w:after="0" w:line="240" w:lineRule="auto"/>
        <w:rPr>
          <w:i/>
        </w:rPr>
      </w:pPr>
    </w:p>
    <w:p w14:paraId="1DAF63FD" w14:textId="636C6A77" w:rsidR="00AA09F3" w:rsidRPr="00CF03CA" w:rsidRDefault="00724D9F" w:rsidP="00F448B0">
      <w:pPr>
        <w:spacing w:after="0" w:line="240" w:lineRule="auto"/>
        <w:rPr>
          <w:i/>
        </w:rPr>
      </w:pPr>
      <w:r w:rsidRPr="000D15AD">
        <w:rPr>
          <w:i/>
        </w:rPr>
        <w:t>Understanding the chart: W</w:t>
      </w:r>
      <w:r>
        <w:rPr>
          <w:i/>
        </w:rPr>
        <w:t>aived</w:t>
      </w:r>
      <w:r w:rsidR="00A94BEF">
        <w:rPr>
          <w:i/>
        </w:rPr>
        <w:t xml:space="preserve"> density limits </w:t>
      </w:r>
      <w:r>
        <w:rPr>
          <w:i/>
        </w:rPr>
        <w:t>means developer</w:t>
      </w:r>
      <w:r w:rsidR="00A94BEF">
        <w:rPr>
          <w:i/>
        </w:rPr>
        <w:t>s</w:t>
      </w:r>
      <w:r>
        <w:rPr>
          <w:i/>
        </w:rPr>
        <w:t xml:space="preserve"> could build as many units as they choose within allowed </w:t>
      </w:r>
      <w:r w:rsidR="00A94BEF">
        <w:rPr>
          <w:i/>
        </w:rPr>
        <w:t>standards.</w:t>
      </w:r>
      <w:r w:rsidR="00CF4EEA">
        <w:rPr>
          <w:i/>
        </w:rPr>
        <w:t xml:space="preserve"> Few, if any, </w:t>
      </w:r>
      <w:r w:rsidR="000F2E39">
        <w:rPr>
          <w:i/>
        </w:rPr>
        <w:t xml:space="preserve">San Mateo County bus routes qualify for the Bus Corridor rules. </w:t>
      </w:r>
    </w:p>
    <w:p w14:paraId="260B82B7" w14:textId="77777777" w:rsidR="00A94BEF" w:rsidRDefault="00A94BEF" w:rsidP="00F448B0">
      <w:pPr>
        <w:spacing w:after="0" w:line="240" w:lineRule="auto"/>
      </w:pPr>
    </w:p>
    <w:p w14:paraId="6F937FC8" w14:textId="77777777" w:rsidR="00F448B0" w:rsidRPr="001377D8" w:rsidRDefault="00F448B0" w:rsidP="00F448B0">
      <w:pPr>
        <w:spacing w:after="0" w:line="240" w:lineRule="auto"/>
        <w:rPr>
          <w:b/>
          <w:bCs/>
          <w:sz w:val="32"/>
          <w:szCs w:val="32"/>
        </w:rPr>
      </w:pPr>
      <w:r w:rsidRPr="00AA09F3">
        <w:rPr>
          <w:b/>
          <w:bCs/>
          <w:sz w:val="32"/>
          <w:szCs w:val="32"/>
        </w:rPr>
        <w:t xml:space="preserve">Qualifications for </w:t>
      </w:r>
      <w:r>
        <w:rPr>
          <w:b/>
          <w:bCs/>
          <w:sz w:val="32"/>
          <w:szCs w:val="32"/>
        </w:rPr>
        <w:t xml:space="preserve">Parcels and </w:t>
      </w:r>
      <w:r w:rsidRPr="00AA09F3">
        <w:rPr>
          <w:b/>
          <w:bCs/>
          <w:sz w:val="32"/>
          <w:szCs w:val="32"/>
        </w:rPr>
        <w:t>Developments</w:t>
      </w:r>
    </w:p>
    <w:p w14:paraId="089A1891" w14:textId="44544F12" w:rsidR="00F448B0" w:rsidRDefault="00F448B0" w:rsidP="00F448B0">
      <w:pPr>
        <w:spacing w:after="0" w:line="240" w:lineRule="auto"/>
      </w:pPr>
      <w:r>
        <w:t xml:space="preserve">Under the default </w:t>
      </w:r>
      <w:r w:rsidR="00011C27">
        <w:t>rules</w:t>
      </w:r>
      <w:r>
        <w:t>, a parcel must meet certain criteria to be eligible for development under SB 50:</w:t>
      </w:r>
    </w:p>
    <w:p w14:paraId="1F48C833" w14:textId="77777777" w:rsidR="00F448B0" w:rsidRDefault="00F448B0" w:rsidP="00F448B0">
      <w:pPr>
        <w:spacing w:after="0" w:line="240" w:lineRule="auto"/>
      </w:pPr>
    </w:p>
    <w:p w14:paraId="1AAD1E5D" w14:textId="77777777" w:rsidR="00F448B0" w:rsidRDefault="00F448B0" w:rsidP="00F448B0">
      <w:pPr>
        <w:pStyle w:val="ListParagraph"/>
        <w:numPr>
          <w:ilvl w:val="0"/>
          <w:numId w:val="26"/>
        </w:numPr>
        <w:spacing w:after="0" w:line="240" w:lineRule="auto"/>
      </w:pPr>
      <w:r>
        <w:t>Requires no demolition or alteration of deed restricted/rent controlled affordable housing or historic properties</w:t>
      </w:r>
    </w:p>
    <w:p w14:paraId="7E728549" w14:textId="2C90293B" w:rsidR="00F448B0" w:rsidRDefault="00F448B0" w:rsidP="00F448B0">
      <w:pPr>
        <w:pStyle w:val="ListParagraph"/>
        <w:numPr>
          <w:ilvl w:val="0"/>
          <w:numId w:val="26"/>
        </w:numPr>
        <w:spacing w:after="0" w:line="240" w:lineRule="auto"/>
      </w:pPr>
      <w:r>
        <w:t xml:space="preserve">Contains no housing on site that is or was </w:t>
      </w:r>
      <w:r w:rsidRPr="00EC0D4B">
        <w:t xml:space="preserve">occupied by tenants in past </w:t>
      </w:r>
      <w:r w:rsidR="006A7A26" w:rsidRPr="006A7A26">
        <w:rPr>
          <w:color w:val="00B0F0"/>
        </w:rPr>
        <w:t>seven</w:t>
      </w:r>
      <w:r w:rsidRPr="006A7A26">
        <w:rPr>
          <w:color w:val="00B0F0"/>
        </w:rPr>
        <w:t xml:space="preserve"> years </w:t>
      </w:r>
      <w:r w:rsidRPr="00EC0D4B">
        <w:t xml:space="preserve">(includes vacant or demolished properties at </w:t>
      </w:r>
      <w:r>
        <w:t xml:space="preserve">the </w:t>
      </w:r>
      <w:r w:rsidRPr="00EC0D4B">
        <w:t>time of application)</w:t>
      </w:r>
    </w:p>
    <w:p w14:paraId="0A7047DF" w14:textId="77777777" w:rsidR="00F448B0" w:rsidRPr="00EC0D4B" w:rsidRDefault="00F448B0" w:rsidP="00F448B0">
      <w:pPr>
        <w:pStyle w:val="ListParagraph"/>
        <w:numPr>
          <w:ilvl w:val="0"/>
          <w:numId w:val="26"/>
        </w:numPr>
        <w:spacing w:after="0" w:line="240" w:lineRule="auto"/>
      </w:pPr>
      <w:r>
        <w:t xml:space="preserve">Contains no historic districts that were legislatively adopted before 2010 or structures listed on a state/federal register of historic resources </w:t>
      </w:r>
    </w:p>
    <w:p w14:paraId="1081DD5A" w14:textId="77777777" w:rsidR="00F448B0" w:rsidRPr="001377D8" w:rsidRDefault="00F448B0" w:rsidP="00F448B0">
      <w:pPr>
        <w:pStyle w:val="ListParagraph"/>
        <w:numPr>
          <w:ilvl w:val="0"/>
          <w:numId w:val="26"/>
        </w:numPr>
        <w:spacing w:after="0" w:line="240" w:lineRule="auto"/>
        <w:rPr>
          <w:color w:val="000000" w:themeColor="text1"/>
        </w:rPr>
      </w:pPr>
      <w:r w:rsidRPr="001377D8">
        <w:rPr>
          <w:color w:val="000000" w:themeColor="text1"/>
        </w:rPr>
        <w:t>Not located in a very high fire hazard severity zone</w:t>
      </w:r>
    </w:p>
    <w:p w14:paraId="61158708" w14:textId="77777777" w:rsidR="00F448B0" w:rsidRPr="00011EBD" w:rsidRDefault="00F448B0" w:rsidP="00F448B0">
      <w:pPr>
        <w:pStyle w:val="ListParagraph"/>
        <w:numPr>
          <w:ilvl w:val="0"/>
          <w:numId w:val="26"/>
        </w:numPr>
        <w:spacing w:after="0" w:line="240" w:lineRule="auto"/>
        <w:rPr>
          <w:color w:val="000000" w:themeColor="text1"/>
        </w:rPr>
      </w:pPr>
      <w:r w:rsidRPr="00011EBD">
        <w:rPr>
          <w:color w:val="000000" w:themeColor="text1"/>
        </w:rPr>
        <w:t>Not located in a coastal zone unless population is more than 50,000</w:t>
      </w:r>
    </w:p>
    <w:p w14:paraId="11EA26BC" w14:textId="77777777" w:rsidR="00F448B0" w:rsidRDefault="00F448B0" w:rsidP="00F448B0">
      <w:pPr>
        <w:spacing w:after="0" w:line="240" w:lineRule="auto"/>
      </w:pPr>
    </w:p>
    <w:p w14:paraId="5EDCB231" w14:textId="46350BEB" w:rsidR="00F448B0" w:rsidRDefault="00F448B0" w:rsidP="00F448B0">
      <w:pPr>
        <w:spacing w:after="0" w:line="240" w:lineRule="auto"/>
      </w:pPr>
      <w:r>
        <w:t xml:space="preserve">To qualify for an </w:t>
      </w:r>
      <w:r w:rsidRPr="007505E0">
        <w:rPr>
          <w:i/>
          <w:iCs/>
        </w:rPr>
        <w:t>Equitable Communities Incentive</w:t>
      </w:r>
      <w:r>
        <w:t xml:space="preserve"> in a Job- or Transit-Rich area, a development must meet the following criteria:</w:t>
      </w:r>
    </w:p>
    <w:p w14:paraId="7C170378" w14:textId="77777777" w:rsidR="00F448B0" w:rsidRDefault="00F448B0" w:rsidP="00F448B0">
      <w:pPr>
        <w:spacing w:after="0" w:line="240" w:lineRule="auto"/>
      </w:pPr>
    </w:p>
    <w:p w14:paraId="53ACEEF8" w14:textId="77777777" w:rsidR="00F448B0" w:rsidRDefault="00F448B0" w:rsidP="00F448B0">
      <w:pPr>
        <w:pStyle w:val="ListParagraph"/>
        <w:numPr>
          <w:ilvl w:val="0"/>
          <w:numId w:val="26"/>
        </w:numPr>
        <w:spacing w:after="0" w:line="240" w:lineRule="auto"/>
      </w:pPr>
      <w:r>
        <w:t>Zoned to allow housing as a</w:t>
      </w:r>
      <w:r w:rsidRPr="00EC0D4B">
        <w:t xml:space="preserve">n </w:t>
      </w:r>
      <w:r>
        <w:t>underlying use</w:t>
      </w:r>
    </w:p>
    <w:p w14:paraId="2C5892E3" w14:textId="77777777" w:rsidR="00F448B0" w:rsidRDefault="00F448B0" w:rsidP="00F448B0">
      <w:pPr>
        <w:pStyle w:val="ListParagraph"/>
        <w:numPr>
          <w:ilvl w:val="0"/>
          <w:numId w:val="26"/>
        </w:numPr>
        <w:spacing w:after="0" w:line="240" w:lineRule="auto"/>
      </w:pPr>
      <w:r>
        <w:t>Includes a</w:t>
      </w:r>
      <w:r w:rsidRPr="00EC0D4B">
        <w:t>t least two-thirds of square footage for residential use</w:t>
      </w:r>
      <w:r>
        <w:t xml:space="preserve"> </w:t>
      </w:r>
    </w:p>
    <w:p w14:paraId="5D07CC6E" w14:textId="77777777" w:rsidR="00F448B0" w:rsidRPr="00EC0D4B" w:rsidRDefault="00F448B0" w:rsidP="00F448B0">
      <w:pPr>
        <w:pStyle w:val="ListParagraph"/>
        <w:numPr>
          <w:ilvl w:val="0"/>
          <w:numId w:val="26"/>
        </w:numPr>
        <w:spacing w:after="0" w:line="240" w:lineRule="auto"/>
      </w:pPr>
      <w:r w:rsidRPr="00EC0D4B">
        <w:t>Meet</w:t>
      </w:r>
      <w:r>
        <w:t>s</w:t>
      </w:r>
      <w:r w:rsidRPr="00EC0D4B">
        <w:t xml:space="preserve"> one of two inclusionary</w:t>
      </w:r>
      <w:r>
        <w:t xml:space="preserve"> housing</w:t>
      </w:r>
      <w:r w:rsidRPr="00EC0D4B">
        <w:t xml:space="preserve"> requirements (existing or minimum </w:t>
      </w:r>
      <w:r>
        <w:t xml:space="preserve">as </w:t>
      </w:r>
      <w:r w:rsidRPr="00EC0D4B">
        <w:t>set by SB</w:t>
      </w:r>
      <w:r>
        <w:t xml:space="preserve"> </w:t>
      </w:r>
      <w:r w:rsidRPr="00EC0D4B">
        <w:t>50</w:t>
      </w:r>
      <w:r>
        <w:t>)</w:t>
      </w:r>
    </w:p>
    <w:p w14:paraId="0F3A7A1F" w14:textId="77777777" w:rsidR="00F448B0" w:rsidRPr="00EC0D4B" w:rsidRDefault="00F448B0" w:rsidP="00F448B0">
      <w:pPr>
        <w:pStyle w:val="ListParagraph"/>
        <w:numPr>
          <w:ilvl w:val="0"/>
          <w:numId w:val="26"/>
        </w:numPr>
        <w:spacing w:after="0" w:line="240" w:lineRule="auto"/>
      </w:pPr>
      <w:r w:rsidRPr="00EC0D4B">
        <w:t>Compl</w:t>
      </w:r>
      <w:r>
        <w:t xml:space="preserve">ies </w:t>
      </w:r>
      <w:r w:rsidRPr="00EC0D4B">
        <w:t xml:space="preserve">with applicable </w:t>
      </w:r>
      <w:r>
        <w:t xml:space="preserve">zoning </w:t>
      </w:r>
      <w:r w:rsidRPr="00EC0D4B">
        <w:t>requirements and other relevant standards</w:t>
      </w:r>
    </w:p>
    <w:p w14:paraId="516BA8CA" w14:textId="77777777" w:rsidR="00F448B0" w:rsidRDefault="00F448B0" w:rsidP="00F448B0">
      <w:pPr>
        <w:spacing w:after="0" w:line="240" w:lineRule="auto"/>
      </w:pPr>
    </w:p>
    <w:p w14:paraId="2A3729B2" w14:textId="77777777" w:rsidR="00F448B0" w:rsidRDefault="00F448B0" w:rsidP="00F448B0">
      <w:pPr>
        <w:spacing w:after="0" w:line="240" w:lineRule="auto"/>
      </w:pPr>
      <w:r>
        <w:t>Qualifying d</w:t>
      </w:r>
      <w:r w:rsidRPr="006F28D2">
        <w:t xml:space="preserve">evelopments would </w:t>
      </w:r>
      <w:r>
        <w:t xml:space="preserve">also </w:t>
      </w:r>
      <w:r w:rsidRPr="006F28D2">
        <w:t>be eligible to use streamlined, ministerial approval per SB</w:t>
      </w:r>
      <w:r>
        <w:t xml:space="preserve"> </w:t>
      </w:r>
      <w:r w:rsidRPr="006F28D2">
        <w:t xml:space="preserve">35 requirements. </w:t>
      </w:r>
    </w:p>
    <w:p w14:paraId="19F79D17" w14:textId="77777777" w:rsidR="007D1CC0" w:rsidRDefault="007D1CC0" w:rsidP="00F448B0">
      <w:pPr>
        <w:spacing w:after="0" w:line="240" w:lineRule="auto"/>
      </w:pPr>
    </w:p>
    <w:p w14:paraId="205CB322" w14:textId="01BC892A" w:rsidR="00D46872" w:rsidRDefault="00B15078" w:rsidP="00F448B0">
      <w:pPr>
        <w:spacing w:after="0" w:line="240" w:lineRule="auto"/>
        <w:rPr>
          <w:b/>
          <w:sz w:val="32"/>
          <w:szCs w:val="32"/>
        </w:rPr>
      </w:pPr>
      <w:r>
        <w:rPr>
          <w:b/>
          <w:sz w:val="32"/>
          <w:szCs w:val="32"/>
        </w:rPr>
        <w:t>Qualifying</w:t>
      </w:r>
      <w:r w:rsidR="00F75706">
        <w:rPr>
          <w:b/>
          <w:sz w:val="32"/>
          <w:szCs w:val="32"/>
        </w:rPr>
        <w:t xml:space="preserve"> </w:t>
      </w:r>
      <w:r w:rsidR="00F75706" w:rsidRPr="000806A5">
        <w:rPr>
          <w:b/>
          <w:sz w:val="32"/>
          <w:szCs w:val="32"/>
        </w:rPr>
        <w:t>Area</w:t>
      </w:r>
      <w:r w:rsidR="00020B3E">
        <w:rPr>
          <w:b/>
          <w:sz w:val="32"/>
          <w:szCs w:val="32"/>
        </w:rPr>
        <w:t>s and</w:t>
      </w:r>
      <w:r w:rsidR="00FA2171">
        <w:rPr>
          <w:b/>
          <w:sz w:val="32"/>
          <w:szCs w:val="32"/>
        </w:rPr>
        <w:t xml:space="preserve"> </w:t>
      </w:r>
      <w:r w:rsidR="00A0369E">
        <w:rPr>
          <w:b/>
          <w:sz w:val="32"/>
          <w:szCs w:val="32"/>
        </w:rPr>
        <w:t xml:space="preserve">Local Context </w:t>
      </w:r>
    </w:p>
    <w:p w14:paraId="0D7FD697" w14:textId="77777777" w:rsidR="007505E0" w:rsidRDefault="007505E0" w:rsidP="00F448B0">
      <w:pPr>
        <w:spacing w:after="0" w:line="240" w:lineRule="auto"/>
        <w:rPr>
          <w:b/>
        </w:rPr>
      </w:pPr>
    </w:p>
    <w:p w14:paraId="0CDF83E7" w14:textId="614A77F2" w:rsidR="00DF6381" w:rsidRPr="00253DF6" w:rsidRDefault="00DF6381" w:rsidP="00F448B0">
      <w:pPr>
        <w:spacing w:after="0" w:line="240" w:lineRule="auto"/>
      </w:pPr>
      <w:r>
        <w:rPr>
          <w:b/>
        </w:rPr>
        <w:t xml:space="preserve">Neighborhood Multifamily Projects </w:t>
      </w:r>
      <w:r>
        <w:t xml:space="preserve">are defined as single family homes not needing substantial exterior changes or vacant parcels. Developers may build/convert these properties to duplexes, triplexes or quads. Proposals would have to meet objective zoning standards and </w:t>
      </w:r>
      <w:r w:rsidR="00DB304B">
        <w:t xml:space="preserve">would </w:t>
      </w:r>
      <w:r>
        <w:t xml:space="preserve">be exempt from CEQA. </w:t>
      </w:r>
      <w:r w:rsidR="00CD5A28">
        <w:t>There are also limits to downzoning</w:t>
      </w:r>
      <w:r w:rsidR="00CD5A28">
        <w:rPr>
          <w:rStyle w:val="FootnoteReference"/>
        </w:rPr>
        <w:footnoteReference w:id="4"/>
      </w:r>
      <w:r w:rsidR="00CD5A28">
        <w:t xml:space="preserve">. </w:t>
      </w:r>
      <w:r w:rsidR="00DB304B">
        <w:t>Cities would have 60 days</w:t>
      </w:r>
      <w:r w:rsidR="00DB304B">
        <w:rPr>
          <w:rStyle w:val="FootnoteReference"/>
        </w:rPr>
        <w:footnoteReference w:id="5"/>
      </w:r>
      <w:r w:rsidR="00DB304B">
        <w:t xml:space="preserve"> to approve through a ministerial process if </w:t>
      </w:r>
      <w:r w:rsidR="00CF03CA">
        <w:t xml:space="preserve">project </w:t>
      </w:r>
      <w:r w:rsidR="00DB304B">
        <w:t xml:space="preserve">proposal complies with objective standards and SB 50 criteria. </w:t>
      </w:r>
    </w:p>
    <w:p w14:paraId="49C80D11" w14:textId="77777777" w:rsidR="007505E0" w:rsidRDefault="007505E0" w:rsidP="00F448B0">
      <w:pPr>
        <w:spacing w:after="0" w:line="240" w:lineRule="auto"/>
        <w:rPr>
          <w:b/>
        </w:rPr>
      </w:pPr>
    </w:p>
    <w:p w14:paraId="660B82B4" w14:textId="14B06C0D" w:rsidR="0086454A" w:rsidRDefault="00B15078" w:rsidP="00F448B0">
      <w:pPr>
        <w:spacing w:after="0" w:line="240" w:lineRule="auto"/>
      </w:pPr>
      <w:r w:rsidRPr="00EC0D4B">
        <w:rPr>
          <w:b/>
        </w:rPr>
        <w:t>Job</w:t>
      </w:r>
      <w:r w:rsidR="00F6460E" w:rsidRPr="00EC0D4B">
        <w:rPr>
          <w:b/>
        </w:rPr>
        <w:t>s-</w:t>
      </w:r>
      <w:r w:rsidRPr="00020B3E">
        <w:rPr>
          <w:b/>
        </w:rPr>
        <w:t>Rich</w:t>
      </w:r>
      <w:r w:rsidR="00F6460E" w:rsidRPr="00020B3E">
        <w:rPr>
          <w:b/>
        </w:rPr>
        <w:t xml:space="preserve"> </w:t>
      </w:r>
      <w:r w:rsidR="00020B3E" w:rsidRPr="00020B3E">
        <w:rPr>
          <w:b/>
        </w:rPr>
        <w:t>Area</w:t>
      </w:r>
      <w:r w:rsidR="00020B3E">
        <w:t xml:space="preserve"> is </w:t>
      </w:r>
      <w:r w:rsidR="0029337C" w:rsidRPr="0029337C">
        <w:t xml:space="preserve">generally defined as </w:t>
      </w:r>
      <w:r w:rsidR="00804D9F">
        <w:t xml:space="preserve">a neighborhood having </w:t>
      </w:r>
      <w:r w:rsidR="00804D9F" w:rsidRPr="00804D9F">
        <w:t xml:space="preserve">more jobs than is typical </w:t>
      </w:r>
      <w:r w:rsidR="000805E2">
        <w:t>in</w:t>
      </w:r>
      <w:r w:rsidR="00804D9F">
        <w:t xml:space="preserve"> the</w:t>
      </w:r>
      <w:r w:rsidR="00804D9F" w:rsidRPr="00804D9F">
        <w:t xml:space="preserve"> region</w:t>
      </w:r>
      <w:r w:rsidR="00020B3E">
        <w:t xml:space="preserve">. </w:t>
      </w:r>
      <w:r w:rsidR="0029337C" w:rsidRPr="0029337C">
        <w:t xml:space="preserve">The </w:t>
      </w:r>
      <w:r w:rsidR="006618F2">
        <w:t>California</w:t>
      </w:r>
      <w:r w:rsidR="006618F2" w:rsidRPr="0029337C">
        <w:t xml:space="preserve"> </w:t>
      </w:r>
      <w:r w:rsidR="0029337C" w:rsidRPr="0029337C">
        <w:t xml:space="preserve">Department of Housing and Community Development (HCD) </w:t>
      </w:r>
      <w:r w:rsidR="006618F2">
        <w:t>will</w:t>
      </w:r>
      <w:r w:rsidR="006618F2" w:rsidRPr="0029337C">
        <w:t xml:space="preserve"> </w:t>
      </w:r>
      <w:r w:rsidR="0029337C" w:rsidRPr="0029337C">
        <w:t xml:space="preserve">be responsible for designating </w:t>
      </w:r>
      <w:r w:rsidR="00020B3E">
        <w:t xml:space="preserve">and publishing </w:t>
      </w:r>
      <w:r w:rsidR="0029337C" w:rsidRPr="0029337C">
        <w:t xml:space="preserve">these </w:t>
      </w:r>
      <w:r w:rsidR="006618F2">
        <w:t xml:space="preserve">areas by </w:t>
      </w:r>
      <w:r w:rsidR="006618F2" w:rsidRPr="00020B3E">
        <w:rPr>
          <w:color w:val="00B0F0"/>
        </w:rPr>
        <w:t>January 202</w:t>
      </w:r>
      <w:r w:rsidR="00020B3E" w:rsidRPr="00020B3E">
        <w:rPr>
          <w:color w:val="00B0F0"/>
        </w:rPr>
        <w:t>1</w:t>
      </w:r>
      <w:r w:rsidR="00020B3E">
        <w:rPr>
          <w:color w:val="00B0F0"/>
        </w:rPr>
        <w:t>, and every five years after</w:t>
      </w:r>
      <w:r w:rsidR="00F6460E" w:rsidRPr="00EC0D4B">
        <w:t xml:space="preserve">. Qualifying </w:t>
      </w:r>
      <w:r w:rsidR="006618F2">
        <w:t>development proposals</w:t>
      </w:r>
      <w:r w:rsidR="006618F2" w:rsidRPr="00EC0D4B">
        <w:t xml:space="preserve"> </w:t>
      </w:r>
      <w:r w:rsidR="00F6460E" w:rsidRPr="00EC0D4B">
        <w:t xml:space="preserve">within </w:t>
      </w:r>
      <w:r w:rsidR="006618F2">
        <w:t>Job-Rich</w:t>
      </w:r>
      <w:r w:rsidR="006618F2" w:rsidRPr="00EC0D4B">
        <w:t xml:space="preserve"> </w:t>
      </w:r>
      <w:r w:rsidR="00F6460E" w:rsidRPr="00EC0D4B">
        <w:t>area</w:t>
      </w:r>
      <w:r w:rsidR="006618F2">
        <w:t>s</w:t>
      </w:r>
      <w:r w:rsidR="00F6460E" w:rsidRPr="00EC0D4B">
        <w:t xml:space="preserve"> </w:t>
      </w:r>
      <w:r w:rsidR="006618F2">
        <w:t>will</w:t>
      </w:r>
      <w:r w:rsidR="006618F2" w:rsidRPr="00EC0D4B">
        <w:t xml:space="preserve"> </w:t>
      </w:r>
      <w:r w:rsidR="00F6460E" w:rsidRPr="00EC0D4B">
        <w:t>be able to receive t</w:t>
      </w:r>
      <w:r w:rsidR="003D4E51" w:rsidRPr="00EC0D4B">
        <w:t>he</w:t>
      </w:r>
      <w:r w:rsidR="00F6460E" w:rsidRPr="00EC0D4B">
        <w:t xml:space="preserve"> incentive</w:t>
      </w:r>
      <w:r w:rsidR="006618F2">
        <w:t>s</w:t>
      </w:r>
      <w:r w:rsidR="00F6460E" w:rsidRPr="00EC0D4B">
        <w:t xml:space="preserve"> whether or not their location is </w:t>
      </w:r>
      <w:r w:rsidR="003D4E51" w:rsidRPr="00EC0D4B">
        <w:t>close</w:t>
      </w:r>
      <w:r w:rsidR="00F6460E" w:rsidRPr="00EC0D4B">
        <w:t xml:space="preserve"> to high</w:t>
      </w:r>
      <w:r w:rsidR="00B24A4E" w:rsidRPr="00EC0D4B">
        <w:t>-</w:t>
      </w:r>
      <w:r w:rsidR="00F6460E" w:rsidRPr="00EC0D4B">
        <w:t>quality transit</w:t>
      </w:r>
      <w:r w:rsidR="003D4E51" w:rsidRPr="00EC0D4B">
        <w:t xml:space="preserve">. </w:t>
      </w:r>
      <w:r w:rsidR="00EC6040">
        <w:t>Senator Wiener</w:t>
      </w:r>
      <w:r w:rsidR="003F2835">
        <w:t xml:space="preserve"> </w:t>
      </w:r>
      <w:r w:rsidR="00EC6040">
        <w:t>has said</w:t>
      </w:r>
      <w:r w:rsidR="00EC6040" w:rsidRPr="00EC6040">
        <w:t xml:space="preserve"> he</w:t>
      </w:r>
      <w:r w:rsidR="00EC6040">
        <w:t xml:space="preserve"> would like the </w:t>
      </w:r>
      <w:hyperlink r:id="rId8" w:history="1">
        <w:r w:rsidR="00EC6040" w:rsidRPr="00EC6040">
          <w:rPr>
            <w:rStyle w:val="Hyperlink"/>
          </w:rPr>
          <w:t>Areas of Opportunity</w:t>
        </w:r>
      </w:hyperlink>
      <w:r w:rsidR="00EC6040">
        <w:t xml:space="preserve"> </w:t>
      </w:r>
      <w:r w:rsidR="00EC6040" w:rsidRPr="00EC6040">
        <w:t xml:space="preserve">recently developed by the Urban Displacement Project </w:t>
      </w:r>
      <w:r w:rsidR="00EC6040">
        <w:t>at UC Berkeley to inform the language of the bill.</w:t>
      </w:r>
      <w:r w:rsidR="00EC6040" w:rsidRPr="00EC6040">
        <w:t xml:space="preserve"> </w:t>
      </w:r>
      <w:r w:rsidR="00EC6040">
        <w:t>Their definitions include commute patterns, neighborhood income and education level and public-school performance.</w:t>
      </w:r>
    </w:p>
    <w:p w14:paraId="500274EA" w14:textId="77777777" w:rsidR="0086454A" w:rsidRDefault="0086454A" w:rsidP="00F448B0">
      <w:pPr>
        <w:spacing w:after="0" w:line="240" w:lineRule="auto"/>
      </w:pPr>
    </w:p>
    <w:p w14:paraId="6CED9DA4" w14:textId="2E7F4DDF" w:rsidR="00780F7B" w:rsidRPr="003F2835" w:rsidRDefault="007D1CC0" w:rsidP="00F448B0">
      <w:pPr>
        <w:spacing w:after="0" w:line="240" w:lineRule="auto"/>
      </w:pPr>
      <w:r w:rsidRPr="00011C27">
        <w:rPr>
          <w:color w:val="000000" w:themeColor="text1"/>
        </w:rPr>
        <w:t>In May of 2019, the</w:t>
      </w:r>
      <w:r w:rsidR="0086454A" w:rsidRPr="00011C27">
        <w:rPr>
          <w:color w:val="000000" w:themeColor="text1"/>
        </w:rPr>
        <w:t xml:space="preserve"> San Mateo Department of Housing and 21 Elements mapped how these designations might be applied in San Mateo County</w:t>
      </w:r>
      <w:r w:rsidRPr="00011C27">
        <w:rPr>
          <w:color w:val="000000" w:themeColor="text1"/>
        </w:rPr>
        <w:t xml:space="preserve"> using </w:t>
      </w:r>
      <w:r w:rsidR="00020B3E" w:rsidRPr="00011C27">
        <w:rPr>
          <w:color w:val="000000" w:themeColor="text1"/>
        </w:rPr>
        <w:t xml:space="preserve">data provided by </w:t>
      </w:r>
      <w:r w:rsidR="00A0369E" w:rsidRPr="00011C27">
        <w:rPr>
          <w:color w:val="000000" w:themeColor="text1"/>
        </w:rPr>
        <w:t>t</w:t>
      </w:r>
      <w:r w:rsidR="00020B3E" w:rsidRPr="00011C27">
        <w:rPr>
          <w:color w:val="000000" w:themeColor="text1"/>
        </w:rPr>
        <w:t xml:space="preserve">he </w:t>
      </w:r>
      <w:hyperlink r:id="rId9" w:history="1">
        <w:r w:rsidR="00020B3E" w:rsidRPr="00A0369E">
          <w:rPr>
            <w:rStyle w:val="Hyperlink"/>
          </w:rPr>
          <w:t>Mapping Opportunity Project</w:t>
        </w:r>
      </w:hyperlink>
      <w:r w:rsidR="0086454A" w:rsidRPr="00ED5EE1">
        <w:t xml:space="preserve">. </w:t>
      </w:r>
      <w:r w:rsidR="00020B3E" w:rsidRPr="00011C27">
        <w:rPr>
          <w:color w:val="000000" w:themeColor="text1"/>
        </w:rPr>
        <w:t xml:space="preserve">While </w:t>
      </w:r>
      <w:r w:rsidR="00A0369E" w:rsidRPr="00011C27">
        <w:rPr>
          <w:color w:val="000000" w:themeColor="text1"/>
        </w:rPr>
        <w:t xml:space="preserve">only estimates can be shown, </w:t>
      </w:r>
      <w:r w:rsidR="00020B3E" w:rsidRPr="00011C27">
        <w:rPr>
          <w:color w:val="000000" w:themeColor="text1"/>
        </w:rPr>
        <w:t>th</w:t>
      </w:r>
      <w:r w:rsidR="00A0369E" w:rsidRPr="00011C27">
        <w:rPr>
          <w:color w:val="000000" w:themeColor="text1"/>
        </w:rPr>
        <w:t>e map provides</w:t>
      </w:r>
      <w:r w:rsidR="00020B3E" w:rsidRPr="00011C27">
        <w:rPr>
          <w:color w:val="000000" w:themeColor="text1"/>
        </w:rPr>
        <w:t xml:space="preserve"> a</w:t>
      </w:r>
      <w:r w:rsidR="00954D4E" w:rsidRPr="00011C27">
        <w:rPr>
          <w:color w:val="000000" w:themeColor="text1"/>
        </w:rPr>
        <w:t>n</w:t>
      </w:r>
      <w:r w:rsidR="00020B3E" w:rsidRPr="00011C27">
        <w:rPr>
          <w:color w:val="000000" w:themeColor="text1"/>
        </w:rPr>
        <w:t xml:space="preserve"> </w:t>
      </w:r>
      <w:r w:rsidR="00954D4E" w:rsidRPr="00011C27">
        <w:rPr>
          <w:color w:val="000000" w:themeColor="text1"/>
        </w:rPr>
        <w:t>approximation</w:t>
      </w:r>
      <w:r w:rsidR="00020B3E" w:rsidRPr="00011C27">
        <w:rPr>
          <w:color w:val="000000" w:themeColor="text1"/>
        </w:rPr>
        <w:t xml:space="preserve"> of how </w:t>
      </w:r>
      <w:r w:rsidR="00A0369E" w:rsidRPr="00011C27">
        <w:rPr>
          <w:color w:val="000000" w:themeColor="text1"/>
        </w:rPr>
        <w:t xml:space="preserve">qualifying </w:t>
      </w:r>
      <w:r w:rsidR="00020B3E" w:rsidRPr="00011C27">
        <w:rPr>
          <w:color w:val="000000" w:themeColor="text1"/>
        </w:rPr>
        <w:t>areas might be defined</w:t>
      </w:r>
      <w:r w:rsidR="00A0369E" w:rsidRPr="00011C27">
        <w:rPr>
          <w:color w:val="000000" w:themeColor="text1"/>
        </w:rPr>
        <w:t xml:space="preserve"> until a final definition</w:t>
      </w:r>
      <w:r w:rsidR="003F2835" w:rsidRPr="00011C27">
        <w:rPr>
          <w:color w:val="000000" w:themeColor="text1"/>
        </w:rPr>
        <w:t xml:space="preserve"> and methodology</w:t>
      </w:r>
      <w:r w:rsidR="00A0369E" w:rsidRPr="00011C27">
        <w:rPr>
          <w:color w:val="000000" w:themeColor="text1"/>
        </w:rPr>
        <w:t xml:space="preserve"> is available</w:t>
      </w:r>
      <w:r w:rsidR="00020B3E" w:rsidRPr="00011C27">
        <w:rPr>
          <w:color w:val="000000" w:themeColor="text1"/>
        </w:rPr>
        <w:t xml:space="preserve">. </w:t>
      </w:r>
      <w:r w:rsidR="00A0369E">
        <w:t>A</w:t>
      </w:r>
      <w:r w:rsidR="0086454A" w:rsidRPr="00ED5EE1">
        <w:t xml:space="preserve"> wide swath of central and southern San Mateo County might be affected</w:t>
      </w:r>
      <w:r w:rsidR="00A0369E">
        <w:t xml:space="preserve">, with the </w:t>
      </w:r>
      <w:r w:rsidR="0086454A" w:rsidRPr="00ED5EE1">
        <w:t xml:space="preserve">coast </w:t>
      </w:r>
      <w:r w:rsidR="00A0369E">
        <w:t>un</w:t>
      </w:r>
      <w:r w:rsidR="0086454A" w:rsidRPr="00ED5EE1">
        <w:t>affected. Since Job-Rich areas do not allow greater height or FAR, the building footprints are not expected to change. However, it is likely that over time single family homes will be converted to duplexes or triplexes.</w:t>
      </w:r>
      <w:r w:rsidR="0086454A">
        <w:t xml:space="preserve"> </w:t>
      </w:r>
    </w:p>
    <w:p w14:paraId="19BF87D7" w14:textId="77777777" w:rsidR="000805E2" w:rsidRPr="000805E2" w:rsidRDefault="000805E2" w:rsidP="00F448B0">
      <w:pPr>
        <w:spacing w:after="0" w:line="240" w:lineRule="auto"/>
      </w:pPr>
    </w:p>
    <w:p w14:paraId="1925B6EC" w14:textId="6704B5C8" w:rsidR="00B15078" w:rsidRDefault="00B15078" w:rsidP="00F448B0">
      <w:pPr>
        <w:spacing w:after="0" w:line="240" w:lineRule="auto"/>
      </w:pPr>
      <w:r w:rsidRPr="00EC0D4B">
        <w:rPr>
          <w:b/>
        </w:rPr>
        <w:t>Transit Rich</w:t>
      </w:r>
      <w:r w:rsidR="003D4E51" w:rsidRPr="00EC0D4B">
        <w:rPr>
          <w:b/>
        </w:rPr>
        <w:t xml:space="preserve"> </w:t>
      </w:r>
      <w:r w:rsidR="00EC6040">
        <w:t>is</w:t>
      </w:r>
      <w:r w:rsidR="006618F2" w:rsidRPr="00EC0D4B">
        <w:t xml:space="preserve"> </w:t>
      </w:r>
      <w:r w:rsidR="003D4E51" w:rsidRPr="00EC0D4B">
        <w:t xml:space="preserve">defined as an area within a </w:t>
      </w:r>
      <w:r w:rsidR="00B24A4E" w:rsidRPr="00EC0D4B">
        <w:t>one-</w:t>
      </w:r>
      <w:r w:rsidR="003D4E51" w:rsidRPr="00EC0D4B">
        <w:t>half</w:t>
      </w:r>
      <w:r w:rsidR="00B24A4E" w:rsidRPr="00EC0D4B">
        <w:t xml:space="preserve"> </w:t>
      </w:r>
      <w:r w:rsidR="003D4E51" w:rsidRPr="00EC0D4B">
        <w:t>mile radius of major</w:t>
      </w:r>
      <w:r w:rsidR="00B24A4E" w:rsidRPr="00EC0D4B">
        <w:t xml:space="preserve"> </w:t>
      </w:r>
      <w:r w:rsidR="003D4E51" w:rsidRPr="00EC0D4B">
        <w:t>transit stops</w:t>
      </w:r>
      <w:r w:rsidR="00B24A4E" w:rsidRPr="00EC0D4B">
        <w:t xml:space="preserve"> (rail stations and ferry terminals)</w:t>
      </w:r>
      <w:r w:rsidR="0015053C" w:rsidRPr="00EC0D4B">
        <w:t xml:space="preserve"> </w:t>
      </w:r>
      <w:r w:rsidR="00B24A4E" w:rsidRPr="00EC0D4B">
        <w:t xml:space="preserve">or </w:t>
      </w:r>
      <w:r w:rsidR="00AB7609">
        <w:t xml:space="preserve">a </w:t>
      </w:r>
      <w:r w:rsidR="00B24A4E" w:rsidRPr="00EC0D4B">
        <w:t xml:space="preserve">one-quarter </w:t>
      </w:r>
      <w:r w:rsidR="0015053C" w:rsidRPr="00EC0D4B">
        <w:t>mile</w:t>
      </w:r>
      <w:r w:rsidR="00B24A4E" w:rsidRPr="00EC0D4B">
        <w:t xml:space="preserve"> radius of a stop </w:t>
      </w:r>
      <w:r w:rsidR="006618F2">
        <w:t>along</w:t>
      </w:r>
      <w:r w:rsidR="006618F2" w:rsidRPr="00EC0D4B">
        <w:t xml:space="preserve"> </w:t>
      </w:r>
      <w:r w:rsidR="00D46872" w:rsidRPr="00EC0D4B">
        <w:t xml:space="preserve">a high-quality bus corridor. </w:t>
      </w:r>
      <w:r w:rsidR="00D46872" w:rsidRPr="003F2835">
        <w:rPr>
          <w:i/>
          <w:iCs/>
        </w:rPr>
        <w:t>H</w:t>
      </w:r>
      <w:r w:rsidR="00B24A4E" w:rsidRPr="003F2835">
        <w:rPr>
          <w:i/>
          <w:iCs/>
        </w:rPr>
        <w:t>igh-</w:t>
      </w:r>
      <w:r w:rsidR="00D46872" w:rsidRPr="003F2835">
        <w:rPr>
          <w:i/>
          <w:iCs/>
        </w:rPr>
        <w:t>Q</w:t>
      </w:r>
      <w:r w:rsidR="00B24A4E" w:rsidRPr="003F2835">
        <w:rPr>
          <w:i/>
          <w:iCs/>
        </w:rPr>
        <w:t xml:space="preserve">uality </w:t>
      </w:r>
      <w:r w:rsidR="00D46872" w:rsidRPr="003F2835">
        <w:rPr>
          <w:i/>
          <w:iCs/>
        </w:rPr>
        <w:t>B</w:t>
      </w:r>
      <w:r w:rsidR="00B24A4E" w:rsidRPr="003F2835">
        <w:rPr>
          <w:i/>
          <w:iCs/>
        </w:rPr>
        <w:t xml:space="preserve">us </w:t>
      </w:r>
      <w:r w:rsidR="00D46872" w:rsidRPr="003F2835">
        <w:rPr>
          <w:i/>
          <w:iCs/>
        </w:rPr>
        <w:t>C</w:t>
      </w:r>
      <w:r w:rsidR="00B24A4E" w:rsidRPr="003F2835">
        <w:rPr>
          <w:i/>
          <w:iCs/>
        </w:rPr>
        <w:t>orridor</w:t>
      </w:r>
      <w:r w:rsidR="00B24A4E" w:rsidRPr="00EC0D4B">
        <w:t xml:space="preserve"> </w:t>
      </w:r>
      <w:r w:rsidR="00EC6040">
        <w:t>is defined</w:t>
      </w:r>
      <w:r w:rsidR="00D46872" w:rsidRPr="00EC0D4B">
        <w:t xml:space="preserve"> as </w:t>
      </w:r>
      <w:r w:rsidR="00EC6040">
        <w:t xml:space="preserve">a </w:t>
      </w:r>
      <w:r w:rsidR="00B24A4E" w:rsidRPr="00EC0D4B">
        <w:t xml:space="preserve">bus route </w:t>
      </w:r>
      <w:r w:rsidR="00D46872" w:rsidRPr="00EC0D4B">
        <w:t>that ha</w:t>
      </w:r>
      <w:r w:rsidR="00EC6040">
        <w:t xml:space="preserve">s </w:t>
      </w:r>
      <w:r w:rsidR="00B24A4E" w:rsidRPr="00EC0D4B">
        <w:t>1</w:t>
      </w:r>
      <w:r w:rsidR="00AC45FC">
        <w:t>0</w:t>
      </w:r>
      <w:r w:rsidR="00B24A4E" w:rsidRPr="00EC0D4B">
        <w:t>-minute</w:t>
      </w:r>
      <w:r w:rsidR="00D46872" w:rsidRPr="00EC0D4B">
        <w:t xml:space="preserve"> intervals during</w:t>
      </w:r>
      <w:r w:rsidR="00B24A4E" w:rsidRPr="00EC0D4B">
        <w:t xml:space="preserve"> </w:t>
      </w:r>
      <w:r w:rsidR="00D46872" w:rsidRPr="00EC0D4B">
        <w:t xml:space="preserve">peak </w:t>
      </w:r>
      <w:r w:rsidR="00B24A4E" w:rsidRPr="00EC0D4B">
        <w:t>weekday service</w:t>
      </w:r>
      <w:r w:rsidR="003C1F73">
        <w:t xml:space="preserve"> and meet</w:t>
      </w:r>
      <w:r w:rsidR="00EC6040">
        <w:t>s</w:t>
      </w:r>
      <w:r w:rsidR="003C1F73">
        <w:t xml:space="preserve"> other transit service criteria</w:t>
      </w:r>
      <w:r w:rsidR="00D46872" w:rsidRPr="00EC0D4B">
        <w:t xml:space="preserve">. </w:t>
      </w:r>
    </w:p>
    <w:p w14:paraId="7F9D53FB" w14:textId="77777777" w:rsidR="00780F7B" w:rsidRDefault="00780F7B" w:rsidP="00F448B0">
      <w:pPr>
        <w:spacing w:after="0" w:line="240" w:lineRule="auto"/>
      </w:pPr>
    </w:p>
    <w:p w14:paraId="7122B790" w14:textId="75DAEFBB" w:rsidR="00F80379" w:rsidRDefault="00B87EFA" w:rsidP="00F448B0">
      <w:pPr>
        <w:spacing w:after="0" w:line="240" w:lineRule="auto"/>
      </w:pPr>
      <w:r>
        <w:t>Most, if not all, major transit areas in San Mateo County</w:t>
      </w:r>
      <w:r w:rsidR="000D15AD">
        <w:t xml:space="preserve"> will be affected by SB 50 because they have not been upzoned</w:t>
      </w:r>
      <w:r>
        <w:t>. The county</w:t>
      </w:r>
      <w:r w:rsidR="00780F7B">
        <w:t xml:space="preserve"> has 17 distinct BART or Cal</w:t>
      </w:r>
      <w:r w:rsidR="00F80379">
        <w:t>tr</w:t>
      </w:r>
      <w:r w:rsidR="006161EE">
        <w:t xml:space="preserve">ain </w:t>
      </w:r>
      <w:r w:rsidR="00780F7B">
        <w:t xml:space="preserve">stops as well as one ferry stop. </w:t>
      </w:r>
      <w:r w:rsidR="00891608">
        <w:t xml:space="preserve">21 Elements analyzed the current zoning within a quarter mile of these stops. </w:t>
      </w:r>
      <w:r w:rsidR="006B5346">
        <w:t xml:space="preserve">Of the </w:t>
      </w:r>
      <w:r w:rsidR="00F80379">
        <w:t>twelve</w:t>
      </w:r>
      <w:r w:rsidR="006B5346">
        <w:t xml:space="preserve"> sites where data is available, three or four have been upzoned in the past five years. Based on available data, ten of the </w:t>
      </w:r>
      <w:r w:rsidR="00F80379">
        <w:t xml:space="preserve">twelve </w:t>
      </w:r>
      <w:r w:rsidR="006B5346">
        <w:t xml:space="preserve">station </w:t>
      </w:r>
      <w:r w:rsidR="006B5346">
        <w:lastRenderedPageBreak/>
        <w:t>areas would be affected by th</w:t>
      </w:r>
      <w:r w:rsidR="00F80379">
        <w:t>is</w:t>
      </w:r>
      <w:r w:rsidR="006B5346">
        <w:t xml:space="preserve"> proposal. </w:t>
      </w:r>
      <w:bookmarkStart w:id="0" w:name="_GoBack"/>
      <w:bookmarkEnd w:id="0"/>
      <w:r w:rsidR="006B5346">
        <w:t xml:space="preserve">Below is a summary of the zoning around </w:t>
      </w:r>
      <w:r w:rsidR="00F448B0">
        <w:t xml:space="preserve">San Mateo County major </w:t>
      </w:r>
      <w:r w:rsidR="006B5346">
        <w:t xml:space="preserve">transit </w:t>
      </w:r>
      <w:r w:rsidR="00F448B0">
        <w:t>areas</w:t>
      </w:r>
      <w:r w:rsidR="006B5346">
        <w:t>:</w:t>
      </w:r>
    </w:p>
    <w:p w14:paraId="1F59823B" w14:textId="77777777" w:rsidR="000805E2" w:rsidRDefault="000805E2" w:rsidP="00F448B0">
      <w:pPr>
        <w:spacing w:after="0" w:line="240" w:lineRule="auto"/>
      </w:pPr>
    </w:p>
    <w:p w14:paraId="311E1793" w14:textId="30A2429A" w:rsidR="006B5346" w:rsidRDefault="006B5346" w:rsidP="00F448B0">
      <w:pPr>
        <w:pStyle w:val="ListParagraph"/>
        <w:numPr>
          <w:ilvl w:val="0"/>
          <w:numId w:val="25"/>
        </w:numPr>
        <w:spacing w:after="0" w:line="240" w:lineRule="auto"/>
      </w:pPr>
      <w:r>
        <w:t xml:space="preserve">No </w:t>
      </w:r>
      <w:r w:rsidR="003F2835">
        <w:t xml:space="preserve">major transit </w:t>
      </w:r>
      <w:r>
        <w:t xml:space="preserve">sites zoned for 55 feet </w:t>
      </w:r>
      <w:r>
        <w:tab/>
      </w:r>
      <w:r w:rsidR="00B87EFA">
        <w:tab/>
      </w:r>
      <w:r>
        <w:t>3</w:t>
      </w:r>
    </w:p>
    <w:p w14:paraId="6A7B37AB" w14:textId="7544F401" w:rsidR="006B5346" w:rsidRDefault="006B5346" w:rsidP="00F448B0">
      <w:pPr>
        <w:pStyle w:val="ListParagraph"/>
        <w:numPr>
          <w:ilvl w:val="0"/>
          <w:numId w:val="25"/>
        </w:numPr>
        <w:spacing w:after="0" w:line="240" w:lineRule="auto"/>
      </w:pPr>
      <w:r>
        <w:t xml:space="preserve">Some </w:t>
      </w:r>
      <w:r w:rsidR="003F2835">
        <w:t xml:space="preserve">major transit </w:t>
      </w:r>
      <w:r>
        <w:t>sites zoned for 55 feet</w:t>
      </w:r>
      <w:r>
        <w:tab/>
      </w:r>
      <w:r w:rsidR="00CD760C">
        <w:tab/>
      </w:r>
      <w:r>
        <w:t>7</w:t>
      </w:r>
    </w:p>
    <w:p w14:paraId="617977AA" w14:textId="6C570C50" w:rsidR="006B5346" w:rsidRDefault="006B5346" w:rsidP="00F448B0">
      <w:pPr>
        <w:pStyle w:val="ListParagraph"/>
        <w:numPr>
          <w:ilvl w:val="0"/>
          <w:numId w:val="25"/>
        </w:numPr>
        <w:spacing w:after="0" w:line="240" w:lineRule="auto"/>
      </w:pPr>
      <w:r>
        <w:t xml:space="preserve">All </w:t>
      </w:r>
      <w:r w:rsidR="003F2835">
        <w:t xml:space="preserve">major transit </w:t>
      </w:r>
      <w:r>
        <w:t>site</w:t>
      </w:r>
      <w:r w:rsidR="00F80379">
        <w:t>s</w:t>
      </w:r>
      <w:r>
        <w:t xml:space="preserve"> zoned for 55 feet</w:t>
      </w:r>
      <w:r>
        <w:tab/>
      </w:r>
      <w:r w:rsidR="00B87EFA">
        <w:tab/>
      </w:r>
      <w:r>
        <w:t>2</w:t>
      </w:r>
    </w:p>
    <w:p w14:paraId="2520A1B7" w14:textId="77777777" w:rsidR="00B87EFA" w:rsidRDefault="00B87EFA" w:rsidP="00F448B0">
      <w:pPr>
        <w:spacing w:after="0" w:line="240" w:lineRule="auto"/>
      </w:pPr>
    </w:p>
    <w:p w14:paraId="2487315F" w14:textId="0AA71873" w:rsidR="00737C22" w:rsidRDefault="00780F7B" w:rsidP="00F448B0">
      <w:pPr>
        <w:spacing w:after="0" w:line="240" w:lineRule="auto"/>
      </w:pPr>
      <w:r>
        <w:t xml:space="preserve">Stops along El Camino Real </w:t>
      </w:r>
      <w:r w:rsidR="00AC45FC">
        <w:t xml:space="preserve">DO NOT </w:t>
      </w:r>
      <w:r w:rsidR="00DB304B">
        <w:t xml:space="preserve">appear to </w:t>
      </w:r>
      <w:r>
        <w:t xml:space="preserve">meet </w:t>
      </w:r>
      <w:r w:rsidR="00737C22">
        <w:t>the definition for high frequency bus areas</w:t>
      </w:r>
      <w:r w:rsidR="00AC45FC">
        <w:t xml:space="preserve">. There are some </w:t>
      </w:r>
      <w:r w:rsidR="00FC2C06">
        <w:t>bus routes in the very north</w:t>
      </w:r>
      <w:r w:rsidR="00F80379">
        <w:t>ern</w:t>
      </w:r>
      <w:r w:rsidR="00FC2C06">
        <w:t xml:space="preserve"> part of the county</w:t>
      </w:r>
      <w:r w:rsidR="00AC45FC">
        <w:t xml:space="preserve"> that need further investigation</w:t>
      </w:r>
      <w:r w:rsidR="00737C22">
        <w:t xml:space="preserve">. </w:t>
      </w:r>
    </w:p>
    <w:p w14:paraId="341073C3" w14:textId="77777777" w:rsidR="00B24A4E" w:rsidRPr="00EC6040" w:rsidRDefault="00B24A4E" w:rsidP="00F448B0">
      <w:pPr>
        <w:spacing w:after="0" w:line="240" w:lineRule="auto"/>
      </w:pPr>
    </w:p>
    <w:p w14:paraId="04FC40EF" w14:textId="30196B92" w:rsidR="00B24A4E" w:rsidRDefault="00B24A4E" w:rsidP="00F448B0">
      <w:pPr>
        <w:spacing w:after="0" w:line="240" w:lineRule="auto"/>
      </w:pPr>
      <w:r w:rsidRPr="00F22A2D">
        <w:rPr>
          <w:b/>
        </w:rPr>
        <w:t>Proposed zoning standards</w:t>
      </w:r>
      <w:r w:rsidRPr="00EC0D4B">
        <w:t xml:space="preserve"> for both </w:t>
      </w:r>
      <w:r w:rsidR="00D46872" w:rsidRPr="00EC0D4B">
        <w:t>J</w:t>
      </w:r>
      <w:r w:rsidRPr="00EC0D4B">
        <w:t>obs-</w:t>
      </w:r>
      <w:r w:rsidR="00D46872" w:rsidRPr="00EC0D4B">
        <w:t>R</w:t>
      </w:r>
      <w:r w:rsidRPr="00EC0D4B">
        <w:t xml:space="preserve">ich and </w:t>
      </w:r>
      <w:r w:rsidR="00D46872" w:rsidRPr="00EC0D4B">
        <w:t>T</w:t>
      </w:r>
      <w:r w:rsidRPr="00EC0D4B">
        <w:t>ransit-</w:t>
      </w:r>
      <w:r w:rsidR="00D46872" w:rsidRPr="00EC0D4B">
        <w:t>Ri</w:t>
      </w:r>
      <w:r w:rsidRPr="00EC0D4B">
        <w:t>ch</w:t>
      </w:r>
      <w:r w:rsidR="00D46872" w:rsidRPr="00EC0D4B">
        <w:t xml:space="preserve"> areas</w:t>
      </w:r>
      <w:r w:rsidRPr="00EC0D4B">
        <w:t xml:space="preserve"> include </w:t>
      </w:r>
      <w:r w:rsidR="002C2797">
        <w:t>reducing</w:t>
      </w:r>
      <w:r w:rsidR="002C2797" w:rsidRPr="00EC0D4B">
        <w:t xml:space="preserve"> </w:t>
      </w:r>
      <w:r w:rsidRPr="00EC0D4B">
        <w:t xml:space="preserve">parking requirements to </w:t>
      </w:r>
      <w:r w:rsidR="002C2797">
        <w:t xml:space="preserve">no more than </w:t>
      </w:r>
      <w:r w:rsidRPr="00EC0D4B">
        <w:t xml:space="preserve">0.5 spaces per unit </w:t>
      </w:r>
      <w:r w:rsidR="001B1A4B">
        <w:t xml:space="preserve">and </w:t>
      </w:r>
      <w:r w:rsidRPr="00EC0D4B">
        <w:t xml:space="preserve">waiving </w:t>
      </w:r>
      <w:r w:rsidR="001B1A4B">
        <w:t>maximum controls on density</w:t>
      </w:r>
      <w:r w:rsidRPr="00EC0D4B">
        <w:t>.</w:t>
      </w:r>
      <w:r w:rsidR="00AB7609" w:rsidRPr="00AB7609">
        <w:t xml:space="preserve"> </w:t>
      </w:r>
      <w:r w:rsidR="006A7A26">
        <w:t>Transit</w:t>
      </w:r>
      <w:r w:rsidR="00FA2171">
        <w:t>-Rich areas have a</w:t>
      </w:r>
      <w:r w:rsidR="00AB7609" w:rsidRPr="00EC0D4B">
        <w:t xml:space="preserve">dditional </w:t>
      </w:r>
      <w:r w:rsidR="00836C5F">
        <w:t>incentives for</w:t>
      </w:r>
      <w:r w:rsidR="00836C5F" w:rsidRPr="00EC0D4B">
        <w:t xml:space="preserve"> </w:t>
      </w:r>
      <w:r w:rsidR="00AB7609" w:rsidRPr="00EC0D4B">
        <w:t>height and FAR limits (see Table 1).</w:t>
      </w:r>
      <w:r w:rsidR="00AB7609">
        <w:t xml:space="preserve"> </w:t>
      </w:r>
    </w:p>
    <w:p w14:paraId="43DC026E" w14:textId="46FC3D1D" w:rsidR="00253DF6" w:rsidRDefault="00253DF6" w:rsidP="00F448B0">
      <w:pPr>
        <w:spacing w:after="0" w:line="240" w:lineRule="auto"/>
      </w:pPr>
    </w:p>
    <w:p w14:paraId="526DFAFD" w14:textId="51AD11E7" w:rsidR="00F75706" w:rsidRPr="003F2835" w:rsidRDefault="00F75706" w:rsidP="00F448B0">
      <w:pPr>
        <w:spacing w:after="0" w:line="240" w:lineRule="auto"/>
        <w:rPr>
          <w:b/>
          <w:sz w:val="32"/>
          <w:szCs w:val="32"/>
        </w:rPr>
      </w:pPr>
      <w:r w:rsidRPr="00EC0D4B">
        <w:rPr>
          <w:b/>
          <w:sz w:val="32"/>
          <w:szCs w:val="32"/>
        </w:rPr>
        <w:t>Inclusionary Requirement</w:t>
      </w:r>
      <w:r w:rsidR="00AA09F3">
        <w:rPr>
          <w:b/>
          <w:sz w:val="32"/>
          <w:szCs w:val="32"/>
        </w:rPr>
        <w:t xml:space="preserve"> </w:t>
      </w:r>
      <w:r w:rsidR="007505E0">
        <w:rPr>
          <w:b/>
          <w:sz w:val="32"/>
          <w:szCs w:val="32"/>
        </w:rPr>
        <w:t>and Community Preference</w:t>
      </w:r>
    </w:p>
    <w:p w14:paraId="64FDAD37" w14:textId="385727C9" w:rsidR="0029337C" w:rsidRPr="00EC0D4B" w:rsidRDefault="00F75706" w:rsidP="00F448B0">
      <w:pPr>
        <w:spacing w:after="0" w:line="240" w:lineRule="auto"/>
      </w:pPr>
      <w:r w:rsidRPr="00EC0D4B">
        <w:t xml:space="preserve">To quality for an </w:t>
      </w:r>
      <w:r w:rsidR="00EC6040">
        <w:t>E</w:t>
      </w:r>
      <w:r w:rsidRPr="00EC0D4B">
        <w:t xml:space="preserve">quitable </w:t>
      </w:r>
      <w:r w:rsidR="00EC6040">
        <w:t>C</w:t>
      </w:r>
      <w:r w:rsidRPr="00EC0D4B">
        <w:t xml:space="preserve">ommunities </w:t>
      </w:r>
      <w:r w:rsidR="00EC6040">
        <w:t>I</w:t>
      </w:r>
      <w:r w:rsidRPr="00EC0D4B">
        <w:t>ncentive</w:t>
      </w:r>
      <w:r w:rsidR="003F2835">
        <w:t xml:space="preserve"> in Jobs- or Transit-Rich Areas</w:t>
      </w:r>
      <w:r w:rsidRPr="00EC0D4B">
        <w:t xml:space="preserve">, a </w:t>
      </w:r>
      <w:r w:rsidR="007D0EF9">
        <w:t>proposed development</w:t>
      </w:r>
      <w:r w:rsidR="007D0EF9" w:rsidRPr="00EC0D4B">
        <w:t xml:space="preserve"> </w:t>
      </w:r>
      <w:r w:rsidRPr="00EC0D4B">
        <w:t>must me</w:t>
      </w:r>
      <w:r w:rsidR="001B1A4B">
        <w:t>e</w:t>
      </w:r>
      <w:r w:rsidRPr="00EC0D4B">
        <w:t>t inclusionary</w:t>
      </w:r>
      <w:r w:rsidR="001B1A4B">
        <w:t xml:space="preserve"> housing</w:t>
      </w:r>
      <w:r w:rsidRPr="00EC0D4B">
        <w:t xml:space="preserve"> requirement</w:t>
      </w:r>
      <w:r w:rsidR="003F2835">
        <w:t xml:space="preserve">s - </w:t>
      </w:r>
      <w:r w:rsidR="0035108C" w:rsidRPr="009D1B53">
        <w:rPr>
          <w:b/>
          <w:bCs/>
        </w:rPr>
        <w:t xml:space="preserve">local </w:t>
      </w:r>
      <w:r w:rsidR="009D1B53">
        <w:rPr>
          <w:b/>
          <w:bCs/>
          <w:iCs/>
        </w:rPr>
        <w:t xml:space="preserve">(if established) </w:t>
      </w:r>
      <w:r w:rsidR="0035108C" w:rsidRPr="009D1B53">
        <w:rPr>
          <w:b/>
          <w:bCs/>
        </w:rPr>
        <w:t>or state rules, whichever is higher.</w:t>
      </w:r>
      <w:r w:rsidR="0035108C">
        <w:t xml:space="preserve"> </w:t>
      </w:r>
    </w:p>
    <w:p w14:paraId="29B014D5" w14:textId="77777777" w:rsidR="0029337C" w:rsidRPr="002C2797" w:rsidRDefault="0029337C" w:rsidP="00F448B0">
      <w:pPr>
        <w:spacing w:after="0" w:line="240" w:lineRule="auto"/>
        <w:rPr>
          <w:sz w:val="14"/>
        </w:rPr>
      </w:pPr>
    </w:p>
    <w:p w14:paraId="40C62055" w14:textId="6E472A60" w:rsidR="0029337C" w:rsidRDefault="0035108C" w:rsidP="00F448B0">
      <w:pPr>
        <w:pStyle w:val="ListParagraph"/>
        <w:numPr>
          <w:ilvl w:val="0"/>
          <w:numId w:val="23"/>
        </w:numPr>
        <w:spacing w:after="0" w:line="240" w:lineRule="auto"/>
      </w:pPr>
      <w:r w:rsidRPr="009D1B53">
        <w:rPr>
          <w:b/>
          <w:bCs/>
        </w:rPr>
        <w:t xml:space="preserve">Local </w:t>
      </w:r>
      <w:r w:rsidR="009D1B53">
        <w:rPr>
          <w:b/>
          <w:bCs/>
        </w:rPr>
        <w:t>R</w:t>
      </w:r>
      <w:r w:rsidRPr="009D1B53">
        <w:rPr>
          <w:b/>
          <w:bCs/>
        </w:rPr>
        <w:t>ules</w:t>
      </w:r>
      <w:r w:rsidR="009D1B53">
        <w:t>:</w:t>
      </w:r>
      <w:r>
        <w:t xml:space="preserve"> </w:t>
      </w:r>
      <w:r w:rsidR="00F75706" w:rsidRPr="00EC0D4B">
        <w:t xml:space="preserve">If a jurisdiction has an inclusionary ordinance requiring </w:t>
      </w:r>
      <w:r>
        <w:t xml:space="preserve">more </w:t>
      </w:r>
      <w:r w:rsidR="00F75706" w:rsidRPr="00EC0D4B">
        <w:t>affordable units</w:t>
      </w:r>
      <w:r w:rsidR="006F28D2">
        <w:t xml:space="preserve"> </w:t>
      </w:r>
      <w:r>
        <w:t xml:space="preserve">than </w:t>
      </w:r>
      <w:r w:rsidR="006F28D2">
        <w:t>SB</w:t>
      </w:r>
      <w:r w:rsidR="002D0387">
        <w:t xml:space="preserve"> </w:t>
      </w:r>
      <w:r w:rsidR="006F28D2">
        <w:t>50</w:t>
      </w:r>
      <w:r w:rsidR="00F75706" w:rsidRPr="00EC0D4B">
        <w:t xml:space="preserve">, a </w:t>
      </w:r>
      <w:r w:rsidR="007D0EF9">
        <w:t>proposed development</w:t>
      </w:r>
      <w:r w:rsidR="007D0EF9" w:rsidRPr="00EC0D4B">
        <w:t xml:space="preserve"> </w:t>
      </w:r>
      <w:r w:rsidR="00F75706" w:rsidRPr="00EC0D4B">
        <w:t xml:space="preserve">will need to </w:t>
      </w:r>
      <w:r w:rsidR="009D1B53">
        <w:t>follow</w:t>
      </w:r>
      <w:r w:rsidR="00F75706" w:rsidRPr="00EC0D4B">
        <w:t xml:space="preserve"> </w:t>
      </w:r>
      <w:r w:rsidR="006F28D2">
        <w:t xml:space="preserve">local </w:t>
      </w:r>
      <w:r>
        <w:t>rules</w:t>
      </w:r>
      <w:r w:rsidR="00F75706" w:rsidRPr="00EC0D4B">
        <w:t xml:space="preserve">. </w:t>
      </w:r>
      <w:r w:rsidR="001B1A4B">
        <w:t>This includes but is not limited to in-lieu fees, offsite</w:t>
      </w:r>
      <w:r w:rsidR="001F3984">
        <w:t xml:space="preserve"> (with limits on location)</w:t>
      </w:r>
      <w:r w:rsidR="001B1A4B">
        <w:t xml:space="preserve"> construction, land dedication or acquisition and rehabilitation of existing units.</w:t>
      </w:r>
      <w:r w:rsidR="00544C1A">
        <w:t xml:space="preserve"> Most San Mateo County jurisdictions with inclusionary requirements </w:t>
      </w:r>
      <w:r w:rsidR="00F22A2D">
        <w:t>require 15-20 percent</w:t>
      </w:r>
      <w:r w:rsidR="00544C1A">
        <w:t xml:space="preserve"> of units to be affordable. </w:t>
      </w:r>
    </w:p>
    <w:p w14:paraId="6558A08C" w14:textId="77777777" w:rsidR="00A94BEF" w:rsidRPr="00EC0D4B" w:rsidRDefault="00A94BEF" w:rsidP="00F448B0">
      <w:pPr>
        <w:pStyle w:val="ListParagraph"/>
        <w:spacing w:after="0" w:line="240" w:lineRule="auto"/>
      </w:pPr>
    </w:p>
    <w:p w14:paraId="0C4132F0" w14:textId="7794B22B" w:rsidR="002D0387" w:rsidRDefault="0035108C" w:rsidP="00F448B0">
      <w:pPr>
        <w:pStyle w:val="ListParagraph"/>
        <w:numPr>
          <w:ilvl w:val="0"/>
          <w:numId w:val="23"/>
        </w:numPr>
        <w:spacing w:after="0" w:line="240" w:lineRule="auto"/>
      </w:pPr>
      <w:r w:rsidRPr="009D1B53">
        <w:rPr>
          <w:b/>
          <w:bCs/>
        </w:rPr>
        <w:t xml:space="preserve">State </w:t>
      </w:r>
      <w:r w:rsidR="009D1B53" w:rsidRPr="009D1B53">
        <w:rPr>
          <w:b/>
          <w:bCs/>
        </w:rPr>
        <w:t>R</w:t>
      </w:r>
      <w:r w:rsidRPr="009D1B53">
        <w:rPr>
          <w:b/>
          <w:bCs/>
        </w:rPr>
        <w:t>ules</w:t>
      </w:r>
      <w:r w:rsidR="009D1B53" w:rsidRPr="009D1B53">
        <w:rPr>
          <w:b/>
          <w:bCs/>
        </w:rPr>
        <w:t>:</w:t>
      </w:r>
      <w:r w:rsidR="009D1B53">
        <w:t xml:space="preserve"> </w:t>
      </w:r>
      <w:r w:rsidR="00F75706" w:rsidRPr="00EC0D4B">
        <w:t xml:space="preserve">If a jurisdiction does not have an </w:t>
      </w:r>
      <w:r w:rsidR="0029337C" w:rsidRPr="00EC0D4B">
        <w:t xml:space="preserve">inclusionary </w:t>
      </w:r>
      <w:r w:rsidR="00F75706" w:rsidRPr="00EC0D4B">
        <w:t>ordinance</w:t>
      </w:r>
      <w:r>
        <w:t xml:space="preserve"> or the state rules are more stringent, the </w:t>
      </w:r>
      <w:r w:rsidR="009D1B53">
        <w:t>development</w:t>
      </w:r>
      <w:r>
        <w:t xml:space="preserve"> will need to follow state rules. The rules apply to all developments 10 units or larger.</w:t>
      </w:r>
      <w:r w:rsidR="009D1B53">
        <w:t xml:space="preserve"> R</w:t>
      </w:r>
      <w:r w:rsidR="00FC2C06">
        <w:t>equirements vary base</w:t>
      </w:r>
      <w:r w:rsidR="003E3893">
        <w:t>d</w:t>
      </w:r>
      <w:r w:rsidR="00FC2C06">
        <w:t xml:space="preserve"> on the number of units in the development, </w:t>
      </w:r>
      <w:r w:rsidR="00ED5EE1">
        <w:t>ranging</w:t>
      </w:r>
      <w:r w:rsidR="00FC2C06">
        <w:t xml:space="preserve"> from 15 to 25 percent </w:t>
      </w:r>
      <w:r>
        <w:t>affordable</w:t>
      </w:r>
      <w:r w:rsidR="00FC2C06">
        <w:t xml:space="preserve"> set aside for low income households. </w:t>
      </w:r>
      <w:r w:rsidR="001B1A4B">
        <w:t>Developments with 11 to 20 units may pay an in-lieu fee. Developments with more than 20 units can either make a comparable contribution toward offsite affordable housing construction or include a mix of affordable housing, dependent on project size.</w:t>
      </w:r>
    </w:p>
    <w:p w14:paraId="1E840100" w14:textId="0FBC74CC" w:rsidR="007505E0" w:rsidRDefault="007505E0" w:rsidP="00F448B0">
      <w:pPr>
        <w:spacing w:after="0" w:line="240" w:lineRule="auto"/>
      </w:pPr>
    </w:p>
    <w:p w14:paraId="6EA611CF" w14:textId="639161F4" w:rsidR="007505E0" w:rsidRPr="00F448B0" w:rsidRDefault="007505E0" w:rsidP="00F448B0">
      <w:pPr>
        <w:spacing w:after="0" w:line="240" w:lineRule="auto"/>
        <w:rPr>
          <w:color w:val="00B0F0"/>
        </w:rPr>
      </w:pPr>
      <w:r w:rsidRPr="00F448B0">
        <w:rPr>
          <w:color w:val="00B0F0"/>
        </w:rPr>
        <w:t xml:space="preserve">Low-income residents living within one-half mile of a development at time of application are now given a community preference priority for affordable units. Forty percent of all affordable units will be reserved for low-income households. The Senator is continuing discussions with groups representing the interests of low-income communities, and this section is expected to further develop. </w:t>
      </w:r>
    </w:p>
    <w:p w14:paraId="0D12EC6D" w14:textId="77777777" w:rsidR="007505E0" w:rsidRPr="001178CD" w:rsidRDefault="007505E0" w:rsidP="00F448B0">
      <w:pPr>
        <w:spacing w:after="0" w:line="240" w:lineRule="auto"/>
        <w:rPr>
          <w:b/>
        </w:rPr>
      </w:pPr>
    </w:p>
    <w:p w14:paraId="032CAFF4" w14:textId="192132E6" w:rsidR="003F2835" w:rsidRPr="00F448B0" w:rsidRDefault="003F2835" w:rsidP="00F448B0">
      <w:pPr>
        <w:spacing w:after="0" w:line="240" w:lineRule="auto"/>
        <w:rPr>
          <w:b/>
          <w:sz w:val="32"/>
          <w:szCs w:val="32"/>
        </w:rPr>
      </w:pPr>
      <w:r>
        <w:rPr>
          <w:b/>
          <w:sz w:val="32"/>
          <w:szCs w:val="32"/>
        </w:rPr>
        <w:t>Sensitive Communities</w:t>
      </w:r>
    </w:p>
    <w:p w14:paraId="619C9BC9" w14:textId="77777777" w:rsidR="00FB0BAA" w:rsidRDefault="00666B3F" w:rsidP="00F448B0">
      <w:pPr>
        <w:spacing w:after="0" w:line="240" w:lineRule="auto"/>
      </w:pPr>
      <w:r>
        <w:rPr>
          <w:bCs/>
          <w:color w:val="00B0F0"/>
        </w:rPr>
        <w:t xml:space="preserve">There is </w:t>
      </w:r>
      <w:r w:rsidR="00132839">
        <w:rPr>
          <w:bCs/>
          <w:color w:val="00B0F0"/>
        </w:rPr>
        <w:t xml:space="preserve">a separate, slower, timeline for implementation in sensitive communities, however few parts of San </w:t>
      </w:r>
      <w:r w:rsidR="00FB0BAA">
        <w:rPr>
          <w:bCs/>
          <w:color w:val="00B0F0"/>
        </w:rPr>
        <w:t>Mateo County will qualify</w:t>
      </w:r>
      <w:r w:rsidR="00132839">
        <w:rPr>
          <w:bCs/>
          <w:color w:val="00B0F0"/>
        </w:rPr>
        <w:t>.</w:t>
      </w:r>
      <w:r w:rsidR="00AF7396">
        <w:rPr>
          <w:bCs/>
          <w:color w:val="00B0F0"/>
        </w:rPr>
        <w:t xml:space="preserve"> </w:t>
      </w:r>
      <w:r w:rsidR="00FB0BAA" w:rsidRPr="00CB0BFC">
        <w:rPr>
          <w:color w:val="00B0F0"/>
        </w:rPr>
        <w:t xml:space="preserve">Local governments would be allowed to delay implementation of SB 50 in </w:t>
      </w:r>
      <w:r w:rsidR="00FB0BAA" w:rsidRPr="001178CD">
        <w:rPr>
          <w:i/>
          <w:iCs/>
          <w:color w:val="00B0F0"/>
        </w:rPr>
        <w:t>potentially sensitive communities</w:t>
      </w:r>
      <w:r w:rsidR="00FB0BAA" w:rsidRPr="001178CD">
        <w:rPr>
          <w:color w:val="00B0F0"/>
        </w:rPr>
        <w:t xml:space="preserve"> until </w:t>
      </w:r>
      <w:r w:rsidR="00FB0BAA" w:rsidRPr="009D1B53">
        <w:rPr>
          <w:color w:val="00B0F0"/>
        </w:rPr>
        <w:t>J</w:t>
      </w:r>
      <w:r w:rsidR="00FB0BAA">
        <w:rPr>
          <w:color w:val="00B0F0"/>
        </w:rPr>
        <w:t>uly</w:t>
      </w:r>
      <w:r w:rsidR="00FB0BAA" w:rsidRPr="009D1B53">
        <w:rPr>
          <w:color w:val="00B0F0"/>
        </w:rPr>
        <w:t xml:space="preserve"> 202</w:t>
      </w:r>
      <w:r w:rsidR="00FB0BAA">
        <w:rPr>
          <w:color w:val="00B0F0"/>
        </w:rPr>
        <w:t xml:space="preserve">3 and in </w:t>
      </w:r>
      <w:r w:rsidR="00FB0BAA" w:rsidRPr="00114EEC">
        <w:rPr>
          <w:i/>
          <w:iCs/>
          <w:color w:val="00B0F0"/>
        </w:rPr>
        <w:t>determined sensitive communities</w:t>
      </w:r>
      <w:r w:rsidR="00FB0BAA">
        <w:rPr>
          <w:color w:val="00B0F0"/>
        </w:rPr>
        <w:t xml:space="preserve"> until January </w:t>
      </w:r>
      <w:r w:rsidR="00FB0BAA" w:rsidRPr="00114EEC">
        <w:rPr>
          <w:color w:val="00B0F0"/>
        </w:rPr>
        <w:t>2026 if a community plan has been adopted</w:t>
      </w:r>
      <w:r w:rsidR="00FB0BAA">
        <w:t xml:space="preserve">. </w:t>
      </w:r>
    </w:p>
    <w:p w14:paraId="3D542C54" w14:textId="0CAF7208" w:rsidR="00FB0BAA" w:rsidRDefault="00FB0BAA" w:rsidP="00F448B0">
      <w:pPr>
        <w:spacing w:after="0" w:line="240" w:lineRule="auto"/>
        <w:rPr>
          <w:bCs/>
          <w:color w:val="00B0F0"/>
        </w:rPr>
      </w:pPr>
    </w:p>
    <w:p w14:paraId="48D90070" w14:textId="0893BF2B" w:rsidR="007505E0" w:rsidRPr="00F448B0" w:rsidRDefault="00AF7396" w:rsidP="00F448B0">
      <w:pPr>
        <w:spacing w:after="0" w:line="240" w:lineRule="auto"/>
        <w:rPr>
          <w:bCs/>
          <w:color w:val="00B0F0"/>
        </w:rPr>
      </w:pPr>
      <w:r>
        <w:rPr>
          <w:bCs/>
          <w:color w:val="00B0F0"/>
        </w:rPr>
        <w:t xml:space="preserve">Specifically, the law </w:t>
      </w:r>
      <w:r w:rsidR="00FB0BAA">
        <w:rPr>
          <w:bCs/>
          <w:color w:val="00B0F0"/>
        </w:rPr>
        <w:t>labels</w:t>
      </w:r>
      <w:r>
        <w:rPr>
          <w:bCs/>
          <w:color w:val="00B0F0"/>
        </w:rPr>
        <w:t xml:space="preserve"> some census tracts as </w:t>
      </w:r>
      <w:r w:rsidR="00FB0BAA">
        <w:rPr>
          <w:bCs/>
          <w:color w:val="00B0F0"/>
        </w:rPr>
        <w:t>sensitive</w:t>
      </w:r>
      <w:r>
        <w:rPr>
          <w:bCs/>
          <w:color w:val="00B0F0"/>
        </w:rPr>
        <w:t xml:space="preserve"> and some as potentially sensitive.</w:t>
      </w:r>
      <w:r w:rsidR="00FB0BAA">
        <w:rPr>
          <w:bCs/>
          <w:color w:val="00B0F0"/>
        </w:rPr>
        <w:t xml:space="preserve"> </w:t>
      </w:r>
      <w:r w:rsidR="00132839" w:rsidRPr="009C59BD">
        <w:rPr>
          <w:bCs/>
          <w:i/>
          <w:iCs/>
          <w:color w:val="00B0F0"/>
        </w:rPr>
        <w:t xml:space="preserve">Sensitive </w:t>
      </w:r>
      <w:r w:rsidR="009C59BD">
        <w:rPr>
          <w:bCs/>
          <w:i/>
          <w:iCs/>
          <w:color w:val="00B0F0"/>
        </w:rPr>
        <w:t>C</w:t>
      </w:r>
      <w:r w:rsidR="00132839" w:rsidRPr="009C59BD">
        <w:rPr>
          <w:bCs/>
          <w:i/>
          <w:iCs/>
          <w:color w:val="00B0F0"/>
        </w:rPr>
        <w:t>ommunities</w:t>
      </w:r>
      <w:r w:rsidR="00132839">
        <w:rPr>
          <w:bCs/>
          <w:color w:val="00B0F0"/>
        </w:rPr>
        <w:t xml:space="preserve"> are defined as the intersection of MTC’s Communities of Concerns and </w:t>
      </w:r>
      <w:r w:rsidR="006F0EA8" w:rsidRPr="00132839">
        <w:rPr>
          <w:bCs/>
          <w:color w:val="00B0F0"/>
        </w:rPr>
        <w:t>San Francisco Bay Conservation and Development Commission (</w:t>
      </w:r>
      <w:r w:rsidR="00BA0802" w:rsidRPr="00132839">
        <w:rPr>
          <w:bCs/>
          <w:color w:val="00B0F0"/>
        </w:rPr>
        <w:t>BCDC</w:t>
      </w:r>
      <w:r w:rsidR="006F0EA8" w:rsidRPr="00132839">
        <w:rPr>
          <w:bCs/>
          <w:color w:val="00B0F0"/>
        </w:rPr>
        <w:t>)</w:t>
      </w:r>
      <w:r w:rsidR="00132839">
        <w:rPr>
          <w:bCs/>
          <w:color w:val="00B0F0"/>
        </w:rPr>
        <w:t xml:space="preserve">’s Disadvantaged Communities. </w:t>
      </w:r>
      <w:r w:rsidR="00FB0BAA">
        <w:rPr>
          <w:bCs/>
          <w:color w:val="00B0F0"/>
        </w:rPr>
        <w:t xml:space="preserve">The sensitive communities are mapped below. </w:t>
      </w:r>
    </w:p>
    <w:p w14:paraId="5C3C33EC" w14:textId="18502E52" w:rsidR="00132839" w:rsidRPr="00132839" w:rsidRDefault="00132839" w:rsidP="00F448B0">
      <w:pPr>
        <w:spacing w:after="0" w:line="240" w:lineRule="auto"/>
        <w:rPr>
          <w:bCs/>
          <w:color w:val="00B0F0"/>
        </w:rPr>
      </w:pPr>
      <w:r>
        <w:rPr>
          <w:noProof/>
        </w:rPr>
        <w:lastRenderedPageBreak/>
        <w:drawing>
          <wp:inline distT="0" distB="0" distL="0" distR="0" wp14:anchorId="10CC9BC5" wp14:editId="1E5C18FC">
            <wp:extent cx="1790082" cy="16192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8108" cy="1626510"/>
                    </a:xfrm>
                    <a:prstGeom prst="rect">
                      <a:avLst/>
                    </a:prstGeom>
                  </pic:spPr>
                </pic:pic>
              </a:graphicData>
            </a:graphic>
          </wp:inline>
        </w:drawing>
      </w:r>
      <w:r>
        <w:rPr>
          <w:noProof/>
        </w:rPr>
        <w:drawing>
          <wp:inline distT="0" distB="0" distL="0" distR="0" wp14:anchorId="091AB5AF" wp14:editId="60B8B83D">
            <wp:extent cx="209550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500" cy="1619250"/>
                    </a:xfrm>
                    <a:prstGeom prst="rect">
                      <a:avLst/>
                    </a:prstGeom>
                  </pic:spPr>
                </pic:pic>
              </a:graphicData>
            </a:graphic>
          </wp:inline>
        </w:drawing>
      </w:r>
      <w:r>
        <w:rPr>
          <w:noProof/>
        </w:rPr>
        <w:drawing>
          <wp:inline distT="0" distB="0" distL="0" distR="0" wp14:anchorId="570DAC85" wp14:editId="42A05504">
            <wp:extent cx="1883873" cy="155970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9633" cy="1564469"/>
                    </a:xfrm>
                    <a:prstGeom prst="rect">
                      <a:avLst/>
                    </a:prstGeom>
                  </pic:spPr>
                </pic:pic>
              </a:graphicData>
            </a:graphic>
          </wp:inline>
        </w:drawing>
      </w:r>
    </w:p>
    <w:p w14:paraId="40385EE6" w14:textId="77777777" w:rsidR="007505E0" w:rsidRDefault="007505E0" w:rsidP="00F448B0">
      <w:pPr>
        <w:spacing w:after="0" w:line="240" w:lineRule="auto"/>
        <w:rPr>
          <w:color w:val="00B0F0"/>
        </w:rPr>
      </w:pPr>
    </w:p>
    <w:p w14:paraId="11B011CB" w14:textId="7951AED9" w:rsidR="00FB0BAA" w:rsidRPr="00F448B0" w:rsidRDefault="00FB0BAA" w:rsidP="00F448B0">
      <w:pPr>
        <w:spacing w:after="0" w:line="240" w:lineRule="auto"/>
        <w:rPr>
          <w:color w:val="00B0F0"/>
        </w:rPr>
      </w:pPr>
      <w:r w:rsidRPr="00F448B0">
        <w:rPr>
          <w:i/>
          <w:iCs/>
          <w:color w:val="00B0F0"/>
        </w:rPr>
        <w:t xml:space="preserve">Potentially </w:t>
      </w:r>
      <w:r w:rsidR="009C59BD" w:rsidRPr="00F448B0">
        <w:rPr>
          <w:i/>
          <w:iCs/>
          <w:color w:val="00B0F0"/>
        </w:rPr>
        <w:t>S</w:t>
      </w:r>
      <w:r w:rsidRPr="00F448B0">
        <w:rPr>
          <w:i/>
          <w:iCs/>
          <w:color w:val="00B0F0"/>
        </w:rPr>
        <w:t xml:space="preserve">ensitive </w:t>
      </w:r>
      <w:r w:rsidR="009C59BD" w:rsidRPr="00F448B0">
        <w:rPr>
          <w:i/>
          <w:iCs/>
          <w:color w:val="00B0F0"/>
        </w:rPr>
        <w:t>C</w:t>
      </w:r>
      <w:r w:rsidRPr="00F448B0">
        <w:rPr>
          <w:i/>
          <w:iCs/>
          <w:color w:val="00B0F0"/>
        </w:rPr>
        <w:t>ommunities</w:t>
      </w:r>
      <w:r w:rsidRPr="00F448B0">
        <w:rPr>
          <w:color w:val="00B0F0"/>
        </w:rPr>
        <w:t xml:space="preserve"> meet any of the follow</w:t>
      </w:r>
      <w:r w:rsidR="009C59BD" w:rsidRPr="00F448B0">
        <w:rPr>
          <w:color w:val="00B0F0"/>
        </w:rPr>
        <w:t xml:space="preserve">ing </w:t>
      </w:r>
      <w:r w:rsidRPr="00F448B0">
        <w:rPr>
          <w:color w:val="00B0F0"/>
        </w:rPr>
        <w:t>rules:</w:t>
      </w:r>
    </w:p>
    <w:p w14:paraId="09C5870D" w14:textId="77777777" w:rsidR="00FB0BAA" w:rsidRPr="00F448B0" w:rsidRDefault="00FB0BAA" w:rsidP="00F448B0">
      <w:pPr>
        <w:pStyle w:val="ListParagraph"/>
        <w:numPr>
          <w:ilvl w:val="0"/>
          <w:numId w:val="31"/>
        </w:numPr>
        <w:spacing w:after="0" w:line="240" w:lineRule="auto"/>
        <w:rPr>
          <w:color w:val="00B0F0"/>
        </w:rPr>
      </w:pPr>
      <w:r w:rsidRPr="00F448B0">
        <w:rPr>
          <w:color w:val="00B0F0"/>
        </w:rPr>
        <w:t>Designated as “high segregation and poverty” or “low resource” on the 2019 Opportunity Maps developed by the California Tax Credit Allocation Committee.</w:t>
      </w:r>
    </w:p>
    <w:p w14:paraId="585E3D55" w14:textId="74620D13" w:rsidR="00FB0BAA" w:rsidRPr="00F448B0" w:rsidRDefault="00FB0BAA" w:rsidP="00F448B0">
      <w:pPr>
        <w:pStyle w:val="ListParagraph"/>
        <w:numPr>
          <w:ilvl w:val="0"/>
          <w:numId w:val="31"/>
        </w:numPr>
        <w:spacing w:after="0" w:line="240" w:lineRule="auto"/>
        <w:rPr>
          <w:color w:val="00B0F0"/>
        </w:rPr>
      </w:pPr>
      <w:r w:rsidRPr="00F448B0">
        <w:rPr>
          <w:color w:val="00B0F0"/>
        </w:rPr>
        <w:t xml:space="preserve">A census tract that is in the top 25 percent scoring census tracts from the </w:t>
      </w:r>
      <w:r w:rsidR="00F448B0" w:rsidRPr="00F448B0">
        <w:rPr>
          <w:color w:val="00B0F0"/>
        </w:rPr>
        <w:t>internet based</w:t>
      </w:r>
      <w:r w:rsidRPr="00F448B0">
        <w:rPr>
          <w:color w:val="00B0F0"/>
        </w:rPr>
        <w:t xml:space="preserve"> </w:t>
      </w:r>
      <w:proofErr w:type="spellStart"/>
      <w:r w:rsidRPr="00F448B0">
        <w:rPr>
          <w:color w:val="00B0F0"/>
        </w:rPr>
        <w:t>CalEnviroScreen</w:t>
      </w:r>
      <w:proofErr w:type="spellEnd"/>
      <w:r w:rsidRPr="00F448B0">
        <w:rPr>
          <w:color w:val="00B0F0"/>
        </w:rPr>
        <w:t xml:space="preserve"> 3.0 tool.</w:t>
      </w:r>
    </w:p>
    <w:p w14:paraId="07A5DC5E" w14:textId="381A092D" w:rsidR="00FB0BAA" w:rsidRPr="00F448B0" w:rsidRDefault="00FB0BAA" w:rsidP="00F448B0">
      <w:pPr>
        <w:pStyle w:val="ListParagraph"/>
        <w:numPr>
          <w:ilvl w:val="0"/>
          <w:numId w:val="31"/>
        </w:numPr>
        <w:spacing w:after="0" w:line="240" w:lineRule="auto"/>
        <w:rPr>
          <w:color w:val="00B0F0"/>
        </w:rPr>
      </w:pPr>
      <w:r w:rsidRPr="00F448B0">
        <w:rPr>
          <w:color w:val="00B0F0"/>
        </w:rPr>
        <w:t>A qualified census tract identified by the United States Department of Housing and Urban Development for 2019.</w:t>
      </w:r>
    </w:p>
    <w:p w14:paraId="1AC32A88" w14:textId="77777777" w:rsidR="00F448B0" w:rsidRDefault="00F448B0" w:rsidP="00F448B0">
      <w:pPr>
        <w:spacing w:after="0" w:line="240" w:lineRule="auto"/>
        <w:rPr>
          <w:color w:val="00B0F0"/>
        </w:rPr>
      </w:pPr>
    </w:p>
    <w:p w14:paraId="5557EE1A" w14:textId="283416C5" w:rsidR="003F2835" w:rsidRPr="00F448B0" w:rsidRDefault="00FB0BAA" w:rsidP="00F448B0">
      <w:pPr>
        <w:spacing w:after="0" w:line="240" w:lineRule="auto"/>
        <w:rPr>
          <w:color w:val="00B0F0"/>
        </w:rPr>
      </w:pPr>
      <w:r>
        <w:rPr>
          <w:bCs/>
          <w:color w:val="00B0F0"/>
        </w:rPr>
        <w:t xml:space="preserve">Counties must decide if these areas are listed as sensitive communities through a public process. </w:t>
      </w:r>
      <w:r w:rsidR="00F448B0" w:rsidRPr="00F448B0">
        <w:rPr>
          <w:color w:val="00B0F0"/>
        </w:rPr>
        <w:t>21 Elements ha</w:t>
      </w:r>
      <w:r w:rsidR="00F448B0">
        <w:rPr>
          <w:color w:val="00B0F0"/>
        </w:rPr>
        <w:t>s</w:t>
      </w:r>
      <w:r w:rsidR="00F448B0" w:rsidRPr="00F448B0">
        <w:rPr>
          <w:color w:val="00B0F0"/>
        </w:rPr>
        <w:t xml:space="preserve"> not mapped these areas yet.</w:t>
      </w:r>
    </w:p>
    <w:p w14:paraId="05CCFA03" w14:textId="239FEA08" w:rsidR="00114EEC" w:rsidRDefault="00114EEC" w:rsidP="00F448B0">
      <w:pPr>
        <w:spacing w:after="0" w:line="240" w:lineRule="auto"/>
      </w:pPr>
    </w:p>
    <w:p w14:paraId="691AAA4B" w14:textId="76ACB85F" w:rsidR="00EC0D4B" w:rsidRPr="00EC0D4B" w:rsidRDefault="00EC0D4B" w:rsidP="00F448B0">
      <w:pPr>
        <w:spacing w:after="0" w:line="240" w:lineRule="auto"/>
        <w:rPr>
          <w:sz w:val="32"/>
          <w:szCs w:val="32"/>
        </w:rPr>
      </w:pPr>
      <w:r>
        <w:rPr>
          <w:b/>
          <w:sz w:val="32"/>
          <w:szCs w:val="32"/>
        </w:rPr>
        <w:t xml:space="preserve">Compliance and </w:t>
      </w:r>
      <w:r w:rsidR="007505E0">
        <w:rPr>
          <w:b/>
          <w:sz w:val="32"/>
          <w:szCs w:val="32"/>
        </w:rPr>
        <w:t>Approval Timing</w:t>
      </w:r>
    </w:p>
    <w:p w14:paraId="2D910C13" w14:textId="77777777" w:rsidR="00F448B0" w:rsidRDefault="001B1A4B" w:rsidP="00F448B0">
      <w:pPr>
        <w:spacing w:after="0" w:line="240" w:lineRule="auto"/>
      </w:pPr>
      <w:r>
        <w:t xml:space="preserve">SB 50 would amend the Housing Accountability Act to state that an </w:t>
      </w:r>
      <w:r w:rsidR="002D0387">
        <w:t>E</w:t>
      </w:r>
      <w:r>
        <w:t xml:space="preserve">quitable </w:t>
      </w:r>
      <w:r w:rsidR="002D0387">
        <w:t>C</w:t>
      </w:r>
      <w:r>
        <w:t xml:space="preserve">ommunities </w:t>
      </w:r>
      <w:r w:rsidR="002D0387">
        <w:t>I</w:t>
      </w:r>
      <w:r>
        <w:t xml:space="preserve">ncentive, similar to a density bonus, cannot be the basis </w:t>
      </w:r>
      <w:r w:rsidR="002D0387">
        <w:t>of finding</w:t>
      </w:r>
      <w:r>
        <w:t xml:space="preserve"> a development inconsistent with objective standards.</w:t>
      </w:r>
      <w:r>
        <w:rPr>
          <w:rFonts w:cs="Times New Roman"/>
          <w:color w:val="000000"/>
        </w:rPr>
        <w:t xml:space="preserve"> Additionally, </w:t>
      </w:r>
      <w:r w:rsidR="0010639F">
        <w:rPr>
          <w:rFonts w:cs="Times New Roman"/>
          <w:color w:val="000000"/>
        </w:rPr>
        <w:t>jurisdictions</w:t>
      </w:r>
      <w:r w:rsidR="0010639F" w:rsidRPr="00EC0D4B">
        <w:rPr>
          <w:rFonts w:cs="Times New Roman"/>
          <w:color w:val="000000"/>
        </w:rPr>
        <w:t xml:space="preserve"> </w:t>
      </w:r>
      <w:r w:rsidR="0010639F">
        <w:rPr>
          <w:rFonts w:cs="Times New Roman"/>
          <w:color w:val="000000"/>
        </w:rPr>
        <w:t>will not be able to</w:t>
      </w:r>
      <w:r w:rsidR="0010639F" w:rsidRPr="00EC0D4B">
        <w:t xml:space="preserve"> </w:t>
      </w:r>
      <w:r w:rsidR="00084713" w:rsidRPr="00EC0D4B">
        <w:t xml:space="preserve">deny or reduce the density of projects that meet </w:t>
      </w:r>
      <w:r>
        <w:t xml:space="preserve">objective </w:t>
      </w:r>
      <w:r w:rsidR="00084713" w:rsidRPr="00EC6040">
        <w:t>standards</w:t>
      </w:r>
      <w:r w:rsidR="00084713" w:rsidRPr="00EC0D4B">
        <w:t>, except under limited circumstances</w:t>
      </w:r>
      <w:r w:rsidR="002952DB" w:rsidRPr="00EC0D4B">
        <w:t>.</w:t>
      </w:r>
      <w:r w:rsidR="001B342B" w:rsidRPr="00EC0D4B">
        <w:t xml:space="preserve"> </w:t>
      </w:r>
    </w:p>
    <w:p w14:paraId="1238C108" w14:textId="77777777" w:rsidR="00F448B0" w:rsidRDefault="00F448B0" w:rsidP="00F448B0">
      <w:pPr>
        <w:spacing w:after="0" w:line="240" w:lineRule="auto"/>
      </w:pPr>
    </w:p>
    <w:p w14:paraId="28E4A846" w14:textId="3088FC03" w:rsidR="007738A2" w:rsidRDefault="001B342B" w:rsidP="00F448B0">
      <w:pPr>
        <w:spacing w:after="0" w:line="240" w:lineRule="auto"/>
      </w:pPr>
      <w:r w:rsidRPr="00EC0D4B">
        <w:t xml:space="preserve">Cities may attach conditions to </w:t>
      </w:r>
      <w:r w:rsidR="00AA09F3">
        <w:t xml:space="preserve">any </w:t>
      </w:r>
      <w:r w:rsidRPr="00EC0D4B">
        <w:t>approval</w:t>
      </w:r>
      <w:r w:rsidR="00593863" w:rsidRPr="00EC0D4B">
        <w:t xml:space="preserve"> </w:t>
      </w:r>
      <w:r w:rsidR="00AA09F3">
        <w:t>if</w:t>
      </w:r>
      <w:r w:rsidR="002D0387">
        <w:t xml:space="preserve"> </w:t>
      </w:r>
      <w:r w:rsidR="00593863" w:rsidRPr="00EC0D4B">
        <w:t>density</w:t>
      </w:r>
      <w:r w:rsidR="00EC6040">
        <w:t xml:space="preserve"> is not reduced</w:t>
      </w:r>
      <w:r w:rsidRPr="00EC0D4B">
        <w:t>.</w:t>
      </w:r>
      <w:r w:rsidR="00EC0D4B">
        <w:t xml:space="preserve"> </w:t>
      </w:r>
      <w:r w:rsidR="007738A2" w:rsidRPr="00EC0D4B">
        <w:t xml:space="preserve">If the developer provides </w:t>
      </w:r>
      <w:r w:rsidR="00593863" w:rsidRPr="00EC0D4B">
        <w:t xml:space="preserve">a </w:t>
      </w:r>
      <w:r w:rsidR="007738A2" w:rsidRPr="00EC0D4B">
        <w:t xml:space="preserve">reasonable </w:t>
      </w:r>
      <w:r w:rsidR="00593863" w:rsidRPr="00EC0D4B">
        <w:t xml:space="preserve">argument </w:t>
      </w:r>
      <w:r w:rsidR="00B07680" w:rsidRPr="00EC0D4B">
        <w:t xml:space="preserve">supported by substantial evidence </w:t>
      </w:r>
      <w:r w:rsidR="007738A2" w:rsidRPr="00EC0D4B">
        <w:t xml:space="preserve">that their project is consistent, a court </w:t>
      </w:r>
      <w:r w:rsidR="00593863" w:rsidRPr="00EC0D4B">
        <w:t xml:space="preserve">may </w:t>
      </w:r>
      <w:r w:rsidR="007738A2" w:rsidRPr="00EC0D4B">
        <w:t xml:space="preserve">side with them, even if the </w:t>
      </w:r>
      <w:r w:rsidR="00EC0D4B">
        <w:t>jurisdiction</w:t>
      </w:r>
      <w:r w:rsidR="00B07680" w:rsidRPr="00EC0D4B">
        <w:t xml:space="preserve"> makes contrary findings</w:t>
      </w:r>
      <w:r w:rsidR="001B1A4B">
        <w:t>.</w:t>
      </w:r>
    </w:p>
    <w:p w14:paraId="3272A29F" w14:textId="77777777" w:rsidR="00F448B0" w:rsidRDefault="00F448B0" w:rsidP="00F448B0">
      <w:pPr>
        <w:spacing w:after="0" w:line="240" w:lineRule="auto"/>
      </w:pPr>
    </w:p>
    <w:p w14:paraId="47902554" w14:textId="2651FD64" w:rsidR="001178CD" w:rsidRDefault="00EC0D4B" w:rsidP="00F448B0">
      <w:pPr>
        <w:spacing w:after="0" w:line="240" w:lineRule="auto"/>
      </w:pPr>
      <w:r>
        <w:t>Jurisdictions</w:t>
      </w:r>
      <w:r w:rsidR="002952DB">
        <w:t xml:space="preserve"> have 30 days</w:t>
      </w:r>
      <w:r w:rsidR="007F46F1">
        <w:t xml:space="preserve"> after</w:t>
      </w:r>
      <w:r w:rsidR="002952DB">
        <w:t xml:space="preserve"> </w:t>
      </w:r>
      <w:r>
        <w:t xml:space="preserve">the completion of an </w:t>
      </w:r>
      <w:r w:rsidR="00084713">
        <w:t>appli</w:t>
      </w:r>
      <w:r w:rsidR="002952DB">
        <w:t>cation to p</w:t>
      </w:r>
      <w:r w:rsidR="00012BFE" w:rsidRPr="00012BFE">
        <w:t xml:space="preserve">rovide </w:t>
      </w:r>
      <w:r w:rsidR="007F46F1">
        <w:t xml:space="preserve">a </w:t>
      </w:r>
      <w:r w:rsidR="00012BFE" w:rsidRPr="00012BFE">
        <w:t xml:space="preserve">list of all inconsistencies with </w:t>
      </w:r>
      <w:r w:rsidR="00012BFE" w:rsidRPr="002C2797">
        <w:t>objective zoning and de</w:t>
      </w:r>
      <w:r w:rsidR="002952DB" w:rsidRPr="002C2797">
        <w:t>sign review standards</w:t>
      </w:r>
      <w:r w:rsidR="002952DB">
        <w:t xml:space="preserve"> in effect </w:t>
      </w:r>
      <w:r w:rsidR="007F46F1">
        <w:t>(60 days for projects over 150 units)</w:t>
      </w:r>
      <w:r>
        <w:t xml:space="preserve">. </w:t>
      </w:r>
    </w:p>
    <w:p w14:paraId="72DEC5F3" w14:textId="77777777" w:rsidR="001178CD" w:rsidRDefault="001178CD" w:rsidP="00F448B0">
      <w:pPr>
        <w:spacing w:after="0" w:line="240" w:lineRule="auto"/>
      </w:pPr>
    </w:p>
    <w:p w14:paraId="0258CC4C" w14:textId="77777777" w:rsidR="00F448B0" w:rsidRDefault="00F448B0" w:rsidP="00F448B0">
      <w:pPr>
        <w:spacing w:after="0" w:line="240" w:lineRule="auto"/>
        <w:rPr>
          <w:i/>
        </w:rPr>
      </w:pPr>
    </w:p>
    <w:p w14:paraId="206C2638" w14:textId="77777777" w:rsidR="00F448B0" w:rsidRDefault="00F448B0" w:rsidP="00F448B0">
      <w:pPr>
        <w:spacing w:after="0" w:line="240" w:lineRule="auto"/>
        <w:rPr>
          <w:i/>
        </w:rPr>
      </w:pPr>
    </w:p>
    <w:p w14:paraId="3F4220E5" w14:textId="77777777" w:rsidR="00F448B0" w:rsidRDefault="00F448B0" w:rsidP="00F448B0">
      <w:pPr>
        <w:spacing w:after="0" w:line="240" w:lineRule="auto"/>
        <w:rPr>
          <w:i/>
        </w:rPr>
      </w:pPr>
    </w:p>
    <w:p w14:paraId="56B9539D" w14:textId="77777777" w:rsidR="00F448B0" w:rsidRDefault="00F448B0" w:rsidP="00F448B0">
      <w:pPr>
        <w:spacing w:after="0" w:line="240" w:lineRule="auto"/>
        <w:rPr>
          <w:i/>
        </w:rPr>
      </w:pPr>
    </w:p>
    <w:p w14:paraId="3634999D" w14:textId="77777777" w:rsidR="00F448B0" w:rsidRDefault="00F448B0" w:rsidP="00F448B0">
      <w:pPr>
        <w:spacing w:after="0" w:line="240" w:lineRule="auto"/>
        <w:rPr>
          <w:i/>
        </w:rPr>
      </w:pPr>
    </w:p>
    <w:p w14:paraId="68FD6303" w14:textId="77777777" w:rsidR="00F448B0" w:rsidRDefault="00F448B0" w:rsidP="00F448B0">
      <w:pPr>
        <w:spacing w:after="0" w:line="240" w:lineRule="auto"/>
        <w:rPr>
          <w:i/>
        </w:rPr>
      </w:pPr>
    </w:p>
    <w:p w14:paraId="47148A99" w14:textId="77777777" w:rsidR="00F448B0" w:rsidRDefault="00F448B0" w:rsidP="00F448B0">
      <w:pPr>
        <w:spacing w:after="0" w:line="240" w:lineRule="auto"/>
        <w:rPr>
          <w:i/>
        </w:rPr>
      </w:pPr>
    </w:p>
    <w:p w14:paraId="025137E1" w14:textId="24836877" w:rsidR="001178CD" w:rsidRPr="001178CD" w:rsidRDefault="001178CD" w:rsidP="00F448B0">
      <w:pPr>
        <w:spacing w:after="0" w:line="240" w:lineRule="auto"/>
      </w:pPr>
      <w:r w:rsidRPr="003C6288">
        <w:rPr>
          <w:i/>
        </w:rPr>
        <w:t xml:space="preserve">Disclaimer: </w:t>
      </w:r>
      <w:r>
        <w:rPr>
          <w:i/>
        </w:rPr>
        <w:t xml:space="preserve">This memo is intended to provide a broad overview not offer legal advice and is expected to change. See </w:t>
      </w:r>
      <w:hyperlink r:id="rId13" w:history="1">
        <w:r w:rsidRPr="00F349CF">
          <w:rPr>
            <w:rStyle w:val="Hyperlink"/>
            <w:i/>
          </w:rPr>
          <w:t>http://leginfo.legislature.ca.gov/faces/billNavClient.xhtml?bill_id=201920200SB50</w:t>
        </w:r>
      </w:hyperlink>
      <w:r>
        <w:rPr>
          <w:i/>
        </w:rPr>
        <w:t xml:space="preserve"> for updates.</w:t>
      </w:r>
    </w:p>
    <w:p w14:paraId="46D5C3EF" w14:textId="77777777" w:rsidR="00595835" w:rsidRDefault="00595835" w:rsidP="00F448B0">
      <w:pPr>
        <w:spacing w:after="0" w:line="240" w:lineRule="auto"/>
        <w:rPr>
          <w:i/>
        </w:rPr>
        <w:sectPr w:rsidR="00595835" w:rsidSect="00A94BEF">
          <w:headerReference w:type="default" r:id="rId14"/>
          <w:footerReference w:type="even" r:id="rId15"/>
          <w:footerReference w:type="default" r:id="rId16"/>
          <w:footerReference w:type="first" r:id="rId17"/>
          <w:pgSz w:w="12240" w:h="15840"/>
          <w:pgMar w:top="720" w:right="1296" w:bottom="603" w:left="1296" w:header="720" w:footer="720" w:gutter="0"/>
          <w:cols w:space="720"/>
          <w:docGrid w:linePitch="360"/>
        </w:sectPr>
      </w:pPr>
    </w:p>
    <w:p w14:paraId="006EEEC8" w14:textId="706B6742" w:rsidR="00595835" w:rsidRDefault="002C1E6E" w:rsidP="00F448B0">
      <w:pPr>
        <w:spacing w:after="0" w:line="240" w:lineRule="auto"/>
        <w:rPr>
          <w:i/>
        </w:rPr>
      </w:pPr>
      <w:r>
        <w:rPr>
          <w:i/>
          <w:noProof/>
        </w:rPr>
        <w:lastRenderedPageBreak/>
        <w:object w:dxaOrig="1440" w:dyaOrig="1440" w14:anchorId="208C0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22.3pt;height:481.2pt;z-index:251659264;mso-wrap-edited:f;mso-width-percent:0;mso-height-percent:0;mso-position-horizontal:absolute;mso-position-horizontal-relative:text;mso-position-vertical:absolute;mso-position-vertical-relative:text;mso-width-percent:0;mso-height-percent:0">
            <v:imagedata r:id="rId18" o:title=""/>
            <w10:wrap type="square"/>
          </v:shape>
          <o:OLEObject Type="Embed" ProgID="AcroExch.Document.DC" ShapeID="_x0000_s1026" DrawAspect="Content" ObjectID="_1641206877" r:id="rId19"/>
        </w:object>
      </w:r>
    </w:p>
    <w:sectPr w:rsidR="00595835" w:rsidSect="00595835">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2EEC3" w14:textId="77777777" w:rsidR="002C1E6E" w:rsidRDefault="002C1E6E" w:rsidP="00520834">
      <w:pPr>
        <w:spacing w:after="0" w:line="240" w:lineRule="auto"/>
      </w:pPr>
      <w:r>
        <w:separator/>
      </w:r>
    </w:p>
  </w:endnote>
  <w:endnote w:type="continuationSeparator" w:id="0">
    <w:p w14:paraId="6A6433E1" w14:textId="77777777" w:rsidR="002C1E6E" w:rsidRDefault="002C1E6E" w:rsidP="00520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MinionPro-Regular">
    <w:altName w:val="Minion Pro"/>
    <w:panose1 w:val="020B0604020202020204"/>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B51B" w14:textId="5475CE71" w:rsidR="0010639F" w:rsidRDefault="0010639F" w:rsidP="00FB1625">
    <w:pPr>
      <w:pStyle w:val="DocID"/>
    </w:pPr>
    <w:r>
      <w:t>990051\02\2311280.1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B4D9B" w14:textId="29F883DC" w:rsidR="0086454A" w:rsidRDefault="0086454A" w:rsidP="0086454A">
    <w:pPr>
      <w:pStyle w:val="Footer"/>
    </w:pPr>
    <w:r>
      <w:t>DRAFT</w:t>
    </w:r>
    <w:r>
      <w:tab/>
    </w:r>
    <w:r>
      <w:tab/>
    </w:r>
    <w:sdt>
      <w:sdtPr>
        <w:id w:val="-16768676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B0BAA">
          <w:rPr>
            <w:noProof/>
          </w:rPr>
          <w:t>6</w:t>
        </w:r>
        <w:r>
          <w:rPr>
            <w:noProof/>
          </w:rPr>
          <w:fldChar w:fldCharType="end"/>
        </w:r>
      </w:sdtContent>
    </w:sdt>
  </w:p>
  <w:p w14:paraId="0A7EC4D7" w14:textId="42BC8586" w:rsidR="0010639F" w:rsidRDefault="0010639F" w:rsidP="00F22A2D">
    <w:pPr>
      <w:pStyle w:val="DocID"/>
      <w:pBdr>
        <w:top w:val="none" w:sz="0" w:space="0" w:color="auto"/>
        <w:bottom w:val="none" w:sz="0" w:space="0" w:color="auto"/>
      </w:pBdr>
      <w:tabs>
        <w:tab w:val="clear" w:pos="9360"/>
        <w:tab w:val="left" w:pos="183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A85A" w14:textId="67C38FF0" w:rsidR="0010639F" w:rsidRDefault="0010639F" w:rsidP="00FB1625">
    <w:pPr>
      <w:pStyle w:val="DocID"/>
    </w:pPr>
    <w:r>
      <w:t>990051\02\2311280.1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95758" w14:textId="77777777" w:rsidR="002C1E6E" w:rsidRDefault="002C1E6E" w:rsidP="00520834">
      <w:pPr>
        <w:spacing w:after="0" w:line="240" w:lineRule="auto"/>
      </w:pPr>
      <w:r>
        <w:separator/>
      </w:r>
    </w:p>
  </w:footnote>
  <w:footnote w:type="continuationSeparator" w:id="0">
    <w:p w14:paraId="6E6FD051" w14:textId="77777777" w:rsidR="002C1E6E" w:rsidRDefault="002C1E6E" w:rsidP="00520834">
      <w:pPr>
        <w:spacing w:after="0" w:line="240" w:lineRule="auto"/>
      </w:pPr>
      <w:r>
        <w:continuationSeparator/>
      </w:r>
    </w:p>
  </w:footnote>
  <w:footnote w:id="1">
    <w:p w14:paraId="3040DC9F" w14:textId="58EC53CC" w:rsidR="00A84DF0" w:rsidRPr="00A84DF0" w:rsidRDefault="00A84DF0">
      <w:pPr>
        <w:pStyle w:val="FootnoteText"/>
        <w:rPr>
          <w:sz w:val="18"/>
          <w:szCs w:val="18"/>
        </w:rPr>
      </w:pPr>
      <w:r>
        <w:rPr>
          <w:rStyle w:val="FootnoteReference"/>
        </w:rPr>
        <w:footnoteRef/>
      </w:r>
      <w:r>
        <w:t xml:space="preserve"> </w:t>
      </w:r>
      <w:r>
        <w:rPr>
          <w:sz w:val="18"/>
          <w:szCs w:val="18"/>
        </w:rPr>
        <w:t xml:space="preserve">The language of the bill is a little unclear if the density limit in the zoning code/general plan would apply or if the new limit would be four units. The general consensus is four units, and this memo is written accordingly. </w:t>
      </w:r>
    </w:p>
  </w:footnote>
  <w:footnote w:id="2">
    <w:p w14:paraId="1D6D15FB" w14:textId="542D2799" w:rsidR="000D15AD" w:rsidRPr="00A94BEF" w:rsidRDefault="000D15AD" w:rsidP="00A94BEF">
      <w:pPr>
        <w:spacing w:after="0"/>
        <w:rPr>
          <w:sz w:val="18"/>
          <w:szCs w:val="18"/>
        </w:rPr>
      </w:pPr>
      <w:r w:rsidRPr="000A5100">
        <w:rPr>
          <w:rStyle w:val="FootnoteReference"/>
          <w:sz w:val="18"/>
          <w:szCs w:val="18"/>
        </w:rPr>
        <w:footnoteRef/>
      </w:r>
      <w:r w:rsidRPr="000A5100">
        <w:rPr>
          <w:sz w:val="18"/>
          <w:szCs w:val="18"/>
        </w:rPr>
        <w:t xml:space="preserve"> Map to be prepared by HCD by </w:t>
      </w:r>
      <w:r w:rsidRPr="008D25BA">
        <w:rPr>
          <w:color w:val="00B0F0"/>
          <w:sz w:val="18"/>
          <w:szCs w:val="18"/>
        </w:rPr>
        <w:t>January 202</w:t>
      </w:r>
      <w:r w:rsidR="008D25BA" w:rsidRPr="008D25BA">
        <w:rPr>
          <w:color w:val="00B0F0"/>
          <w:sz w:val="18"/>
          <w:szCs w:val="18"/>
        </w:rPr>
        <w:t>1</w:t>
      </w:r>
      <w:r w:rsidRPr="008D25BA">
        <w:rPr>
          <w:color w:val="00B0F0"/>
          <w:sz w:val="18"/>
          <w:szCs w:val="18"/>
        </w:rPr>
        <w:t xml:space="preserve"> </w:t>
      </w:r>
      <w:r w:rsidRPr="000A5100">
        <w:rPr>
          <w:sz w:val="18"/>
          <w:szCs w:val="18"/>
        </w:rPr>
        <w:t>and updated every five years.</w:t>
      </w:r>
      <w:r w:rsidR="000A5100">
        <w:rPr>
          <w:sz w:val="18"/>
          <w:szCs w:val="18"/>
        </w:rPr>
        <w:t xml:space="preserve"> </w:t>
      </w:r>
    </w:p>
  </w:footnote>
  <w:footnote w:id="3">
    <w:p w14:paraId="5408F2E3" w14:textId="1D00E70D" w:rsidR="00CE283E" w:rsidRPr="009C59BD" w:rsidRDefault="00CE283E">
      <w:pPr>
        <w:pStyle w:val="FootnoteText"/>
        <w:rPr>
          <w:sz w:val="18"/>
          <w:szCs w:val="18"/>
        </w:rPr>
      </w:pPr>
      <w:r w:rsidRPr="009C59BD">
        <w:rPr>
          <w:rStyle w:val="FootnoteReference"/>
          <w:sz w:val="18"/>
          <w:szCs w:val="18"/>
        </w:rPr>
        <w:footnoteRef/>
      </w:r>
      <w:r w:rsidRPr="009C59BD">
        <w:rPr>
          <w:sz w:val="18"/>
          <w:szCs w:val="18"/>
        </w:rPr>
        <w:t xml:space="preserve"> Cities can develop their own </w:t>
      </w:r>
      <w:r w:rsidR="0035524E">
        <w:rPr>
          <w:sz w:val="18"/>
          <w:szCs w:val="18"/>
        </w:rPr>
        <w:t>standards</w:t>
      </w:r>
      <w:r w:rsidRPr="009C59BD">
        <w:rPr>
          <w:sz w:val="18"/>
          <w:szCs w:val="18"/>
        </w:rPr>
        <w:t xml:space="preserve"> rather than follow these</w:t>
      </w:r>
      <w:r w:rsidR="0035524E">
        <w:rPr>
          <w:sz w:val="18"/>
          <w:szCs w:val="18"/>
        </w:rPr>
        <w:t xml:space="preserve"> rules</w:t>
      </w:r>
      <w:r w:rsidRPr="009C59BD">
        <w:rPr>
          <w:sz w:val="18"/>
          <w:szCs w:val="18"/>
        </w:rPr>
        <w:t xml:space="preserve">. See </w:t>
      </w:r>
      <w:r w:rsidR="00011C27">
        <w:rPr>
          <w:sz w:val="18"/>
          <w:szCs w:val="18"/>
        </w:rPr>
        <w:t>Local Flexibility Plan section on Page 1</w:t>
      </w:r>
      <w:r w:rsidRPr="009C59BD">
        <w:rPr>
          <w:sz w:val="18"/>
          <w:szCs w:val="18"/>
        </w:rPr>
        <w:t xml:space="preserve">. </w:t>
      </w:r>
    </w:p>
  </w:footnote>
  <w:footnote w:id="4">
    <w:p w14:paraId="00E87767" w14:textId="38985A96" w:rsidR="00CD5A28" w:rsidRPr="00CB0BFC" w:rsidRDefault="00CD5A28" w:rsidP="00CB0BFC">
      <w:pPr>
        <w:spacing w:after="0" w:line="240" w:lineRule="auto"/>
        <w:rPr>
          <w:rFonts w:ascii="Calibri" w:eastAsia="Times New Roman" w:hAnsi="Calibri" w:cs="Times New Roman"/>
          <w:color w:val="00B0F0"/>
          <w:sz w:val="18"/>
          <w:szCs w:val="18"/>
        </w:rPr>
      </w:pPr>
      <w:r>
        <w:rPr>
          <w:rStyle w:val="FootnoteReference"/>
        </w:rPr>
        <w:footnoteRef/>
      </w:r>
      <w:r>
        <w:t xml:space="preserve"> </w:t>
      </w:r>
      <w:r>
        <w:rPr>
          <w:rFonts w:ascii="Calibri" w:hAnsi="Calibri"/>
          <w:color w:val="00B0F0"/>
          <w:sz w:val="18"/>
          <w:szCs w:val="18"/>
        </w:rPr>
        <w:t>Ordinances adopted a</w:t>
      </w:r>
      <w:r w:rsidRPr="009C59BD">
        <w:rPr>
          <w:rFonts w:ascii="Calibri" w:eastAsia="Times New Roman" w:hAnsi="Calibri" w:cs="Times New Roman"/>
          <w:color w:val="00B0F0"/>
          <w:sz w:val="18"/>
          <w:szCs w:val="18"/>
          <w:shd w:val="clear" w:color="auto" w:fill="FFFFFF"/>
        </w:rPr>
        <w:t>fter July 1, 2019 that</w:t>
      </w:r>
      <w:r>
        <w:rPr>
          <w:rFonts w:ascii="Calibri" w:eastAsia="Times New Roman" w:hAnsi="Calibri" w:cs="Times New Roman"/>
          <w:color w:val="00B0F0"/>
          <w:sz w:val="18"/>
          <w:szCs w:val="18"/>
          <w:shd w:val="clear" w:color="auto" w:fill="FFFFFF"/>
        </w:rPr>
        <w:t xml:space="preserve"> attempt to downzone affected areas will not apply to Neighborhood Multifamily projects that comply with applica</w:t>
      </w:r>
      <w:r w:rsidR="00CB0BFC">
        <w:rPr>
          <w:rFonts w:ascii="Calibri" w:eastAsia="Times New Roman" w:hAnsi="Calibri" w:cs="Times New Roman"/>
          <w:color w:val="00B0F0"/>
          <w:sz w:val="18"/>
          <w:szCs w:val="18"/>
          <w:shd w:val="clear" w:color="auto" w:fill="FFFFFF"/>
        </w:rPr>
        <w:t xml:space="preserve">ble </w:t>
      </w:r>
      <w:r>
        <w:rPr>
          <w:rFonts w:ascii="Calibri" w:eastAsia="Times New Roman" w:hAnsi="Calibri" w:cs="Times New Roman"/>
          <w:color w:val="00B0F0"/>
          <w:sz w:val="18"/>
          <w:szCs w:val="18"/>
          <w:shd w:val="clear" w:color="auto" w:fill="FFFFFF"/>
        </w:rPr>
        <w:t xml:space="preserve">zoning </w:t>
      </w:r>
      <w:r w:rsidR="00CB0BFC">
        <w:rPr>
          <w:rFonts w:ascii="Calibri" w:eastAsia="Times New Roman" w:hAnsi="Calibri" w:cs="Times New Roman"/>
          <w:color w:val="00B0F0"/>
          <w:sz w:val="18"/>
          <w:szCs w:val="18"/>
          <w:shd w:val="clear" w:color="auto" w:fill="FFFFFF"/>
        </w:rPr>
        <w:t>and meet SB 50 requirements.</w:t>
      </w:r>
    </w:p>
  </w:footnote>
  <w:footnote w:id="5">
    <w:p w14:paraId="2C9026D4" w14:textId="4BAB2FD2" w:rsidR="00DB304B" w:rsidRPr="001377D8" w:rsidRDefault="00DB304B" w:rsidP="00CB0BFC">
      <w:pPr>
        <w:pStyle w:val="FootnoteText"/>
        <w:rPr>
          <w:sz w:val="18"/>
          <w:szCs w:val="18"/>
        </w:rPr>
      </w:pPr>
      <w:r w:rsidRPr="001377D8">
        <w:rPr>
          <w:rStyle w:val="FootnoteReference"/>
          <w:sz w:val="18"/>
          <w:szCs w:val="18"/>
        </w:rPr>
        <w:footnoteRef/>
      </w:r>
      <w:r w:rsidRPr="001377D8">
        <w:rPr>
          <w:sz w:val="18"/>
          <w:szCs w:val="18"/>
        </w:rPr>
        <w:t xml:space="preserve"> 90 days for larger projects (over 150 units). More time is allowed to complete the design review process, which also must be based on objective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6FB1" w14:textId="13419266" w:rsidR="0035524E" w:rsidRDefault="0035524E" w:rsidP="009C59BD">
    <w:pPr>
      <w:pStyle w:val="Header"/>
      <w:rPr>
        <w:b/>
        <w:bCs/>
        <w:sz w:val="32"/>
        <w:szCs w:val="32"/>
      </w:rPr>
    </w:pPr>
    <w:r w:rsidRPr="00845581">
      <w:rPr>
        <w:bCs/>
        <w:noProof/>
        <w:sz w:val="52"/>
        <w:szCs w:val="40"/>
      </w:rPr>
      <w:drawing>
        <wp:anchor distT="0" distB="0" distL="114300" distR="114300" simplePos="0" relativeHeight="251659264" behindDoc="0" locked="0" layoutInCell="1" allowOverlap="1" wp14:anchorId="7F697A4E" wp14:editId="26ACA5FD">
          <wp:simplePos x="0" y="0"/>
          <wp:positionH relativeFrom="column">
            <wp:posOffset>2427361</wp:posOffset>
          </wp:positionH>
          <wp:positionV relativeFrom="paragraph">
            <wp:posOffset>-233045</wp:posOffset>
          </wp:positionV>
          <wp:extent cx="1188720" cy="661690"/>
          <wp:effectExtent l="0" t="0" r="5080" b="0"/>
          <wp:wrapSquare wrapText="bothSides"/>
          <wp:docPr id="7" name="Picture 7" descr="C:\Users\Joshua\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ua\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661690"/>
                  </a:xfrm>
                  <a:prstGeom prst="rect">
                    <a:avLst/>
                  </a:prstGeom>
                  <a:noFill/>
                  <a:ln>
                    <a:noFill/>
                  </a:ln>
                </pic:spPr>
              </pic:pic>
            </a:graphicData>
          </a:graphic>
        </wp:anchor>
      </w:drawing>
    </w:r>
  </w:p>
  <w:p w14:paraId="125491E0" w14:textId="77777777" w:rsidR="0035524E" w:rsidRDefault="0035524E" w:rsidP="009C59BD">
    <w:pPr>
      <w:pStyle w:val="Header"/>
      <w:rPr>
        <w:b/>
        <w:bCs/>
        <w:sz w:val="32"/>
        <w:szCs w:val="32"/>
      </w:rPr>
    </w:pPr>
  </w:p>
  <w:p w14:paraId="197FBDFC" w14:textId="64240052" w:rsidR="0010639F" w:rsidRPr="00AA09F3" w:rsidRDefault="0010639F" w:rsidP="009C59BD">
    <w:pPr>
      <w:pStyle w:val="Header"/>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2F8"/>
    <w:multiLevelType w:val="hybridMultilevel"/>
    <w:tmpl w:val="CD38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A2C5B"/>
    <w:multiLevelType w:val="hybridMultilevel"/>
    <w:tmpl w:val="CA56F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76B0"/>
    <w:multiLevelType w:val="hybridMultilevel"/>
    <w:tmpl w:val="0C383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1B098A"/>
    <w:multiLevelType w:val="hybridMultilevel"/>
    <w:tmpl w:val="BCFCBC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974AE"/>
    <w:multiLevelType w:val="hybridMultilevel"/>
    <w:tmpl w:val="7EFE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37AC6"/>
    <w:multiLevelType w:val="hybridMultilevel"/>
    <w:tmpl w:val="B21AF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010A0"/>
    <w:multiLevelType w:val="hybridMultilevel"/>
    <w:tmpl w:val="E4CC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4328C"/>
    <w:multiLevelType w:val="hybridMultilevel"/>
    <w:tmpl w:val="A70CEFEE"/>
    <w:lvl w:ilvl="0" w:tplc="11927CF2">
      <w:start w:val="1"/>
      <w:numFmt w:val="bullet"/>
      <w:pStyle w:val="Heading3Bullet1"/>
      <w:lvlText w:val=""/>
      <w:lvlJc w:val="left"/>
      <w:pPr>
        <w:ind w:left="1440" w:hanging="360"/>
      </w:pPr>
      <w:rPr>
        <w:rFonts w:ascii="Symbol" w:hAnsi="Symbol" w:hint="default"/>
      </w:rPr>
    </w:lvl>
    <w:lvl w:ilvl="1" w:tplc="C1FA3764">
      <w:start w:val="1"/>
      <w:numFmt w:val="bullet"/>
      <w:lvlText w:val="o"/>
      <w:lvlJc w:val="left"/>
      <w:pPr>
        <w:ind w:left="2160" w:hanging="360"/>
      </w:pPr>
      <w:rPr>
        <w:rFonts w:ascii="Courier New" w:hAnsi="Courier New" w:cs="Courier New" w:hint="default"/>
      </w:rPr>
    </w:lvl>
    <w:lvl w:ilvl="2" w:tplc="849821B4" w:tentative="1">
      <w:start w:val="1"/>
      <w:numFmt w:val="bullet"/>
      <w:lvlText w:val=""/>
      <w:lvlJc w:val="left"/>
      <w:pPr>
        <w:ind w:left="2880" w:hanging="360"/>
      </w:pPr>
      <w:rPr>
        <w:rFonts w:ascii="Wingdings" w:hAnsi="Wingdings" w:hint="default"/>
      </w:rPr>
    </w:lvl>
    <w:lvl w:ilvl="3" w:tplc="46F0B29A" w:tentative="1">
      <w:start w:val="1"/>
      <w:numFmt w:val="bullet"/>
      <w:lvlText w:val=""/>
      <w:lvlJc w:val="left"/>
      <w:pPr>
        <w:ind w:left="3600" w:hanging="360"/>
      </w:pPr>
      <w:rPr>
        <w:rFonts w:ascii="Symbol" w:hAnsi="Symbol" w:hint="default"/>
      </w:rPr>
    </w:lvl>
    <w:lvl w:ilvl="4" w:tplc="47FE3628" w:tentative="1">
      <w:start w:val="1"/>
      <w:numFmt w:val="bullet"/>
      <w:lvlText w:val="o"/>
      <w:lvlJc w:val="left"/>
      <w:pPr>
        <w:ind w:left="4320" w:hanging="360"/>
      </w:pPr>
      <w:rPr>
        <w:rFonts w:ascii="Courier New" w:hAnsi="Courier New" w:cs="Courier New" w:hint="default"/>
      </w:rPr>
    </w:lvl>
    <w:lvl w:ilvl="5" w:tplc="E32EE878" w:tentative="1">
      <w:start w:val="1"/>
      <w:numFmt w:val="bullet"/>
      <w:lvlText w:val=""/>
      <w:lvlJc w:val="left"/>
      <w:pPr>
        <w:ind w:left="5040" w:hanging="360"/>
      </w:pPr>
      <w:rPr>
        <w:rFonts w:ascii="Wingdings" w:hAnsi="Wingdings" w:hint="default"/>
      </w:rPr>
    </w:lvl>
    <w:lvl w:ilvl="6" w:tplc="C6D0D6F2" w:tentative="1">
      <w:start w:val="1"/>
      <w:numFmt w:val="bullet"/>
      <w:lvlText w:val=""/>
      <w:lvlJc w:val="left"/>
      <w:pPr>
        <w:ind w:left="5760" w:hanging="360"/>
      </w:pPr>
      <w:rPr>
        <w:rFonts w:ascii="Symbol" w:hAnsi="Symbol" w:hint="default"/>
      </w:rPr>
    </w:lvl>
    <w:lvl w:ilvl="7" w:tplc="BFCED5C6" w:tentative="1">
      <w:start w:val="1"/>
      <w:numFmt w:val="bullet"/>
      <w:lvlText w:val="o"/>
      <w:lvlJc w:val="left"/>
      <w:pPr>
        <w:ind w:left="6480" w:hanging="360"/>
      </w:pPr>
      <w:rPr>
        <w:rFonts w:ascii="Courier New" w:hAnsi="Courier New" w:cs="Courier New" w:hint="default"/>
      </w:rPr>
    </w:lvl>
    <w:lvl w:ilvl="8" w:tplc="BDFE5C14" w:tentative="1">
      <w:start w:val="1"/>
      <w:numFmt w:val="bullet"/>
      <w:lvlText w:val=""/>
      <w:lvlJc w:val="left"/>
      <w:pPr>
        <w:ind w:left="7200" w:hanging="360"/>
      </w:pPr>
      <w:rPr>
        <w:rFonts w:ascii="Wingdings" w:hAnsi="Wingdings" w:hint="default"/>
      </w:rPr>
    </w:lvl>
  </w:abstractNum>
  <w:abstractNum w:abstractNumId="8" w15:restartNumberingAfterBreak="0">
    <w:nsid w:val="1F3977EF"/>
    <w:multiLevelType w:val="hybridMultilevel"/>
    <w:tmpl w:val="CD54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75C68"/>
    <w:multiLevelType w:val="hybridMultilevel"/>
    <w:tmpl w:val="B72A4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32769"/>
    <w:multiLevelType w:val="hybridMultilevel"/>
    <w:tmpl w:val="5BDA3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20840"/>
    <w:multiLevelType w:val="hybridMultilevel"/>
    <w:tmpl w:val="43602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927DD"/>
    <w:multiLevelType w:val="hybridMultilevel"/>
    <w:tmpl w:val="10C0F1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FF4571"/>
    <w:multiLevelType w:val="hybridMultilevel"/>
    <w:tmpl w:val="71984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56A48"/>
    <w:multiLevelType w:val="hybridMultilevel"/>
    <w:tmpl w:val="23E2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B3982"/>
    <w:multiLevelType w:val="hybridMultilevel"/>
    <w:tmpl w:val="E1028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A2CF0"/>
    <w:multiLevelType w:val="hybridMultilevel"/>
    <w:tmpl w:val="625A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93EC6"/>
    <w:multiLevelType w:val="hybridMultilevel"/>
    <w:tmpl w:val="7C309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01BF1"/>
    <w:multiLevelType w:val="hybridMultilevel"/>
    <w:tmpl w:val="3C3C56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B11172"/>
    <w:multiLevelType w:val="hybridMultilevel"/>
    <w:tmpl w:val="B600D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E37CA5"/>
    <w:multiLevelType w:val="hybridMultilevel"/>
    <w:tmpl w:val="1F4294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5AD"/>
    <w:multiLevelType w:val="hybridMultilevel"/>
    <w:tmpl w:val="6982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A36EF"/>
    <w:multiLevelType w:val="hybridMultilevel"/>
    <w:tmpl w:val="774E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A1FC4"/>
    <w:multiLevelType w:val="hybridMultilevel"/>
    <w:tmpl w:val="C8608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F54DF3"/>
    <w:multiLevelType w:val="hybridMultilevel"/>
    <w:tmpl w:val="69CE934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093FAD"/>
    <w:multiLevelType w:val="hybridMultilevel"/>
    <w:tmpl w:val="6FEAD902"/>
    <w:lvl w:ilvl="0" w:tplc="FB8E3D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33D00"/>
    <w:multiLevelType w:val="hybridMultilevel"/>
    <w:tmpl w:val="DD0CB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C2B62"/>
    <w:multiLevelType w:val="hybridMultilevel"/>
    <w:tmpl w:val="2E82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5B4312"/>
    <w:multiLevelType w:val="hybridMultilevel"/>
    <w:tmpl w:val="B0C287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EA3ACE"/>
    <w:multiLevelType w:val="hybridMultilevel"/>
    <w:tmpl w:val="69FC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C819AA"/>
    <w:multiLevelType w:val="hybridMultilevel"/>
    <w:tmpl w:val="8B8042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27"/>
  </w:num>
  <w:num w:numId="4">
    <w:abstractNumId w:val="22"/>
  </w:num>
  <w:num w:numId="5">
    <w:abstractNumId w:val="20"/>
  </w:num>
  <w:num w:numId="6">
    <w:abstractNumId w:val="18"/>
  </w:num>
  <w:num w:numId="7">
    <w:abstractNumId w:val="4"/>
  </w:num>
  <w:num w:numId="8">
    <w:abstractNumId w:val="17"/>
  </w:num>
  <w:num w:numId="9">
    <w:abstractNumId w:val="15"/>
  </w:num>
  <w:num w:numId="10">
    <w:abstractNumId w:val="10"/>
  </w:num>
  <w:num w:numId="11">
    <w:abstractNumId w:val="8"/>
  </w:num>
  <w:num w:numId="12">
    <w:abstractNumId w:val="7"/>
  </w:num>
  <w:num w:numId="13">
    <w:abstractNumId w:val="0"/>
  </w:num>
  <w:num w:numId="14">
    <w:abstractNumId w:val="23"/>
  </w:num>
  <w:num w:numId="15">
    <w:abstractNumId w:val="9"/>
  </w:num>
  <w:num w:numId="16">
    <w:abstractNumId w:val="25"/>
  </w:num>
  <w:num w:numId="17">
    <w:abstractNumId w:val="5"/>
  </w:num>
  <w:num w:numId="18">
    <w:abstractNumId w:val="13"/>
  </w:num>
  <w:num w:numId="19">
    <w:abstractNumId w:val="14"/>
  </w:num>
  <w:num w:numId="20">
    <w:abstractNumId w:val="29"/>
  </w:num>
  <w:num w:numId="21">
    <w:abstractNumId w:val="6"/>
  </w:num>
  <w:num w:numId="22">
    <w:abstractNumId w:val="16"/>
  </w:num>
  <w:num w:numId="23">
    <w:abstractNumId w:val="24"/>
  </w:num>
  <w:num w:numId="24">
    <w:abstractNumId w:val="28"/>
  </w:num>
  <w:num w:numId="25">
    <w:abstractNumId w:val="30"/>
  </w:num>
  <w:num w:numId="26">
    <w:abstractNumId w:val="26"/>
  </w:num>
  <w:num w:numId="27">
    <w:abstractNumId w:val="1"/>
  </w:num>
  <w:num w:numId="28">
    <w:abstractNumId w:val="12"/>
  </w:num>
  <w:num w:numId="29">
    <w:abstractNumId w:val="19"/>
  </w:num>
  <w:num w:numId="30">
    <w:abstractNumId w:val="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80"/>
    <w:rsid w:val="00002AFE"/>
    <w:rsid w:val="00003260"/>
    <w:rsid w:val="00004C2A"/>
    <w:rsid w:val="00011C27"/>
    <w:rsid w:val="00011EBD"/>
    <w:rsid w:val="00012BFE"/>
    <w:rsid w:val="00020B3E"/>
    <w:rsid w:val="00031857"/>
    <w:rsid w:val="00040A25"/>
    <w:rsid w:val="0005352C"/>
    <w:rsid w:val="0006062C"/>
    <w:rsid w:val="00066D63"/>
    <w:rsid w:val="0007757E"/>
    <w:rsid w:val="000805E2"/>
    <w:rsid w:val="000806A5"/>
    <w:rsid w:val="00084713"/>
    <w:rsid w:val="000973AF"/>
    <w:rsid w:val="000A0ECF"/>
    <w:rsid w:val="000A5100"/>
    <w:rsid w:val="000C2169"/>
    <w:rsid w:val="000D15AD"/>
    <w:rsid w:val="000D62E3"/>
    <w:rsid w:val="000D7571"/>
    <w:rsid w:val="000E2575"/>
    <w:rsid w:val="000F2E39"/>
    <w:rsid w:val="000F323C"/>
    <w:rsid w:val="0010639F"/>
    <w:rsid w:val="001121BF"/>
    <w:rsid w:val="00114EEC"/>
    <w:rsid w:val="00115EC5"/>
    <w:rsid w:val="001178CD"/>
    <w:rsid w:val="00122B8F"/>
    <w:rsid w:val="00130BA1"/>
    <w:rsid w:val="00132839"/>
    <w:rsid w:val="001377D8"/>
    <w:rsid w:val="00140191"/>
    <w:rsid w:val="00146DE8"/>
    <w:rsid w:val="00147850"/>
    <w:rsid w:val="0015053C"/>
    <w:rsid w:val="001639B2"/>
    <w:rsid w:val="00192FDB"/>
    <w:rsid w:val="001B1A4B"/>
    <w:rsid w:val="001B342B"/>
    <w:rsid w:val="001C67A9"/>
    <w:rsid w:val="001E35A0"/>
    <w:rsid w:val="001E48F0"/>
    <w:rsid w:val="001E7DE0"/>
    <w:rsid w:val="001F09A9"/>
    <w:rsid w:val="001F3984"/>
    <w:rsid w:val="00220767"/>
    <w:rsid w:val="00221AD4"/>
    <w:rsid w:val="00221E7C"/>
    <w:rsid w:val="0022647B"/>
    <w:rsid w:val="00237A96"/>
    <w:rsid w:val="0024614B"/>
    <w:rsid w:val="00253DF6"/>
    <w:rsid w:val="00284A91"/>
    <w:rsid w:val="0029012A"/>
    <w:rsid w:val="002909E7"/>
    <w:rsid w:val="0029337C"/>
    <w:rsid w:val="002952DB"/>
    <w:rsid w:val="002C1E6E"/>
    <w:rsid w:val="002C1EF9"/>
    <w:rsid w:val="002C2797"/>
    <w:rsid w:val="002D0387"/>
    <w:rsid w:val="002F46B1"/>
    <w:rsid w:val="0030414F"/>
    <w:rsid w:val="0035108C"/>
    <w:rsid w:val="0035524E"/>
    <w:rsid w:val="00376ACB"/>
    <w:rsid w:val="00384031"/>
    <w:rsid w:val="00384154"/>
    <w:rsid w:val="003861FD"/>
    <w:rsid w:val="003C0317"/>
    <w:rsid w:val="003C1F73"/>
    <w:rsid w:val="003C6288"/>
    <w:rsid w:val="003D4E51"/>
    <w:rsid w:val="003E3893"/>
    <w:rsid w:val="003F2835"/>
    <w:rsid w:val="003F3E77"/>
    <w:rsid w:val="00407361"/>
    <w:rsid w:val="00412134"/>
    <w:rsid w:val="00433C69"/>
    <w:rsid w:val="004342FF"/>
    <w:rsid w:val="004347D0"/>
    <w:rsid w:val="00467EC0"/>
    <w:rsid w:val="00470445"/>
    <w:rsid w:val="00471489"/>
    <w:rsid w:val="00472726"/>
    <w:rsid w:val="00473556"/>
    <w:rsid w:val="004753BB"/>
    <w:rsid w:val="00481021"/>
    <w:rsid w:val="00493FB0"/>
    <w:rsid w:val="004D5BED"/>
    <w:rsid w:val="004F054F"/>
    <w:rsid w:val="00506C49"/>
    <w:rsid w:val="005129B6"/>
    <w:rsid w:val="00520834"/>
    <w:rsid w:val="00522D78"/>
    <w:rsid w:val="00523876"/>
    <w:rsid w:val="00526632"/>
    <w:rsid w:val="00527F59"/>
    <w:rsid w:val="00544C1A"/>
    <w:rsid w:val="005465AA"/>
    <w:rsid w:val="0055200D"/>
    <w:rsid w:val="005542F8"/>
    <w:rsid w:val="005749DD"/>
    <w:rsid w:val="00575574"/>
    <w:rsid w:val="005834D5"/>
    <w:rsid w:val="00593863"/>
    <w:rsid w:val="00595835"/>
    <w:rsid w:val="005B5245"/>
    <w:rsid w:val="005D5053"/>
    <w:rsid w:val="005D5762"/>
    <w:rsid w:val="005F5029"/>
    <w:rsid w:val="006161EE"/>
    <w:rsid w:val="006223E9"/>
    <w:rsid w:val="00653A75"/>
    <w:rsid w:val="00656E21"/>
    <w:rsid w:val="006618F2"/>
    <w:rsid w:val="00666B3F"/>
    <w:rsid w:val="006728D9"/>
    <w:rsid w:val="00692A35"/>
    <w:rsid w:val="006A7A26"/>
    <w:rsid w:val="006B5346"/>
    <w:rsid w:val="006C1A30"/>
    <w:rsid w:val="006D0860"/>
    <w:rsid w:val="006E2667"/>
    <w:rsid w:val="006F0EA8"/>
    <w:rsid w:val="006F28D2"/>
    <w:rsid w:val="006F4245"/>
    <w:rsid w:val="00724D9F"/>
    <w:rsid w:val="00737C22"/>
    <w:rsid w:val="00744924"/>
    <w:rsid w:val="00747809"/>
    <w:rsid w:val="007505E0"/>
    <w:rsid w:val="007738A2"/>
    <w:rsid w:val="0077709C"/>
    <w:rsid w:val="007773F2"/>
    <w:rsid w:val="00780F7B"/>
    <w:rsid w:val="007C3BC8"/>
    <w:rsid w:val="007D0EF9"/>
    <w:rsid w:val="007D1CC0"/>
    <w:rsid w:val="007E172E"/>
    <w:rsid w:val="007E274B"/>
    <w:rsid w:val="007F46F1"/>
    <w:rsid w:val="00804D9F"/>
    <w:rsid w:val="00817C5C"/>
    <w:rsid w:val="008220E0"/>
    <w:rsid w:val="00832D0E"/>
    <w:rsid w:val="00836C5F"/>
    <w:rsid w:val="00842708"/>
    <w:rsid w:val="00847287"/>
    <w:rsid w:val="0086454A"/>
    <w:rsid w:val="00864EC3"/>
    <w:rsid w:val="00891608"/>
    <w:rsid w:val="008B5410"/>
    <w:rsid w:val="008D01FC"/>
    <w:rsid w:val="008D25BA"/>
    <w:rsid w:val="008F17B0"/>
    <w:rsid w:val="008F37A2"/>
    <w:rsid w:val="00902BBE"/>
    <w:rsid w:val="00954D4E"/>
    <w:rsid w:val="0098786A"/>
    <w:rsid w:val="009A0BC0"/>
    <w:rsid w:val="009A3AE0"/>
    <w:rsid w:val="009C13B7"/>
    <w:rsid w:val="009C59BD"/>
    <w:rsid w:val="009D1B53"/>
    <w:rsid w:val="009F4BB8"/>
    <w:rsid w:val="00A0369E"/>
    <w:rsid w:val="00A235A0"/>
    <w:rsid w:val="00A25922"/>
    <w:rsid w:val="00A45E26"/>
    <w:rsid w:val="00A70195"/>
    <w:rsid w:val="00A84DF0"/>
    <w:rsid w:val="00A8609E"/>
    <w:rsid w:val="00A935E0"/>
    <w:rsid w:val="00A94968"/>
    <w:rsid w:val="00A94BEF"/>
    <w:rsid w:val="00AA09F3"/>
    <w:rsid w:val="00AB7553"/>
    <w:rsid w:val="00AB7609"/>
    <w:rsid w:val="00AC45FC"/>
    <w:rsid w:val="00AD061F"/>
    <w:rsid w:val="00AD5C0D"/>
    <w:rsid w:val="00AD7C05"/>
    <w:rsid w:val="00AE1DD6"/>
    <w:rsid w:val="00AF7396"/>
    <w:rsid w:val="00B07680"/>
    <w:rsid w:val="00B15078"/>
    <w:rsid w:val="00B24A4E"/>
    <w:rsid w:val="00B32D7E"/>
    <w:rsid w:val="00B34162"/>
    <w:rsid w:val="00B4076D"/>
    <w:rsid w:val="00B87CC4"/>
    <w:rsid w:val="00B87EFA"/>
    <w:rsid w:val="00B953DE"/>
    <w:rsid w:val="00B97075"/>
    <w:rsid w:val="00BA0802"/>
    <w:rsid w:val="00BA5B42"/>
    <w:rsid w:val="00C249E6"/>
    <w:rsid w:val="00C63427"/>
    <w:rsid w:val="00C65D51"/>
    <w:rsid w:val="00C76B11"/>
    <w:rsid w:val="00C87862"/>
    <w:rsid w:val="00CB0BFC"/>
    <w:rsid w:val="00CC13B2"/>
    <w:rsid w:val="00CC6078"/>
    <w:rsid w:val="00CC6E3D"/>
    <w:rsid w:val="00CD5A28"/>
    <w:rsid w:val="00CD760C"/>
    <w:rsid w:val="00CE283E"/>
    <w:rsid w:val="00CE3F98"/>
    <w:rsid w:val="00CF03CA"/>
    <w:rsid w:val="00CF4EEA"/>
    <w:rsid w:val="00D01080"/>
    <w:rsid w:val="00D02EB2"/>
    <w:rsid w:val="00D1302B"/>
    <w:rsid w:val="00D33C0C"/>
    <w:rsid w:val="00D46872"/>
    <w:rsid w:val="00D723BE"/>
    <w:rsid w:val="00D74CEE"/>
    <w:rsid w:val="00DB0CBC"/>
    <w:rsid w:val="00DB304B"/>
    <w:rsid w:val="00DB3738"/>
    <w:rsid w:val="00DD7E8E"/>
    <w:rsid w:val="00DE6E57"/>
    <w:rsid w:val="00DF0F34"/>
    <w:rsid w:val="00DF6381"/>
    <w:rsid w:val="00E30379"/>
    <w:rsid w:val="00E30C84"/>
    <w:rsid w:val="00E33351"/>
    <w:rsid w:val="00E37CDD"/>
    <w:rsid w:val="00E707FF"/>
    <w:rsid w:val="00EB3A7A"/>
    <w:rsid w:val="00EC0D4B"/>
    <w:rsid w:val="00EC4746"/>
    <w:rsid w:val="00EC6040"/>
    <w:rsid w:val="00ED5EE1"/>
    <w:rsid w:val="00EF0BB9"/>
    <w:rsid w:val="00EF1CD3"/>
    <w:rsid w:val="00EF2585"/>
    <w:rsid w:val="00EF5B58"/>
    <w:rsid w:val="00F06CA2"/>
    <w:rsid w:val="00F122F0"/>
    <w:rsid w:val="00F22A2D"/>
    <w:rsid w:val="00F2455C"/>
    <w:rsid w:val="00F42F36"/>
    <w:rsid w:val="00F448B0"/>
    <w:rsid w:val="00F54AD5"/>
    <w:rsid w:val="00F569C9"/>
    <w:rsid w:val="00F57E82"/>
    <w:rsid w:val="00F6460E"/>
    <w:rsid w:val="00F740D3"/>
    <w:rsid w:val="00F75706"/>
    <w:rsid w:val="00F80379"/>
    <w:rsid w:val="00F84C36"/>
    <w:rsid w:val="00F8779C"/>
    <w:rsid w:val="00F91D50"/>
    <w:rsid w:val="00FA2171"/>
    <w:rsid w:val="00FB0BAA"/>
    <w:rsid w:val="00FB1625"/>
    <w:rsid w:val="00FC2C06"/>
    <w:rsid w:val="00FC3E94"/>
    <w:rsid w:val="00FC6C48"/>
    <w:rsid w:val="00FE6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797AFD"/>
  <w15:docId w15:val="{E39996EE-9145-9F49-89E5-8ECAD8F8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080"/>
    <w:pPr>
      <w:ind w:left="720"/>
      <w:contextualSpacing/>
    </w:pPr>
  </w:style>
  <w:style w:type="paragraph" w:styleId="FootnoteText">
    <w:name w:val="footnote text"/>
    <w:basedOn w:val="Normal"/>
    <w:link w:val="FootnoteTextChar"/>
    <w:uiPriority w:val="99"/>
    <w:semiHidden/>
    <w:unhideWhenUsed/>
    <w:rsid w:val="005208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834"/>
    <w:rPr>
      <w:sz w:val="20"/>
      <w:szCs w:val="20"/>
    </w:rPr>
  </w:style>
  <w:style w:type="character" w:styleId="FootnoteReference">
    <w:name w:val="footnote reference"/>
    <w:basedOn w:val="DefaultParagraphFont"/>
    <w:uiPriority w:val="99"/>
    <w:semiHidden/>
    <w:unhideWhenUsed/>
    <w:rsid w:val="00520834"/>
    <w:rPr>
      <w:vertAlign w:val="superscript"/>
    </w:rPr>
  </w:style>
  <w:style w:type="paragraph" w:styleId="Header">
    <w:name w:val="header"/>
    <w:basedOn w:val="Normal"/>
    <w:link w:val="HeaderChar"/>
    <w:uiPriority w:val="99"/>
    <w:unhideWhenUsed/>
    <w:rsid w:val="00B87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CC4"/>
  </w:style>
  <w:style w:type="paragraph" w:styleId="Footer">
    <w:name w:val="footer"/>
    <w:basedOn w:val="Normal"/>
    <w:link w:val="FooterChar"/>
    <w:uiPriority w:val="99"/>
    <w:unhideWhenUsed/>
    <w:rsid w:val="00B87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CC4"/>
  </w:style>
  <w:style w:type="paragraph" w:customStyle="1" w:styleId="Heading3TextParagraph">
    <w:name w:val="Heading 3 Text Paragraph"/>
    <w:basedOn w:val="Normal"/>
    <w:rsid w:val="00E30379"/>
    <w:pPr>
      <w:spacing w:after="240" w:line="240" w:lineRule="auto"/>
      <w:ind w:left="720"/>
    </w:pPr>
    <w:rPr>
      <w:rFonts w:ascii="Times New Roman" w:eastAsia="Times New Roman" w:hAnsi="Times New Roman" w:cs="Times New Roman"/>
      <w:sz w:val="24"/>
      <w:szCs w:val="24"/>
    </w:rPr>
  </w:style>
  <w:style w:type="paragraph" w:customStyle="1" w:styleId="Heading3Bullet1">
    <w:name w:val="Heading 3 Bullet 1"/>
    <w:basedOn w:val="Heading3TextParagraph"/>
    <w:rsid w:val="00E30379"/>
    <w:pPr>
      <w:numPr>
        <w:numId w:val="12"/>
      </w:numPr>
    </w:pPr>
  </w:style>
  <w:style w:type="paragraph" w:customStyle="1" w:styleId="DocID">
    <w:name w:val="Doc ID"/>
    <w:basedOn w:val="Normal"/>
    <w:link w:val="DocIDChar"/>
    <w:rsid w:val="00FB1625"/>
    <w:pPr>
      <w:pBdr>
        <w:top w:val="single" w:sz="4" w:space="1" w:color="auto"/>
        <w:bottom w:val="single" w:sz="4" w:space="1" w:color="auto"/>
      </w:pBdr>
      <w:tabs>
        <w:tab w:val="right" w:pos="9360"/>
      </w:tabs>
      <w:spacing w:after="0" w:line="200" w:lineRule="exact"/>
    </w:pPr>
    <w:rPr>
      <w:rFonts w:ascii="Times New Roman" w:hAnsi="Times New Roman" w:cs="Times New Roman"/>
      <w:bCs/>
      <w:sz w:val="16"/>
      <w:szCs w:val="40"/>
    </w:rPr>
  </w:style>
  <w:style w:type="character" w:customStyle="1" w:styleId="DocIDChar">
    <w:name w:val="Doc ID Char"/>
    <w:basedOn w:val="DefaultParagraphFont"/>
    <w:link w:val="DocID"/>
    <w:rsid w:val="00FB1625"/>
    <w:rPr>
      <w:rFonts w:ascii="Times New Roman" w:hAnsi="Times New Roman" w:cs="Times New Roman"/>
      <w:bCs/>
      <w:sz w:val="16"/>
      <w:szCs w:val="40"/>
    </w:rPr>
  </w:style>
  <w:style w:type="paragraph" w:styleId="BalloonText">
    <w:name w:val="Balloon Text"/>
    <w:basedOn w:val="Normal"/>
    <w:link w:val="BalloonTextChar"/>
    <w:uiPriority w:val="99"/>
    <w:semiHidden/>
    <w:unhideWhenUsed/>
    <w:rsid w:val="00DF0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F34"/>
    <w:rPr>
      <w:rFonts w:ascii="Segoe UI" w:hAnsi="Segoe UI" w:cs="Segoe UI"/>
      <w:sz w:val="18"/>
      <w:szCs w:val="18"/>
    </w:rPr>
  </w:style>
  <w:style w:type="table" w:customStyle="1" w:styleId="PlainTable11">
    <w:name w:val="Plain Table 11"/>
    <w:basedOn w:val="TableNormal"/>
    <w:uiPriority w:val="99"/>
    <w:rsid w:val="000806A5"/>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C6040"/>
    <w:rPr>
      <w:color w:val="0563C1" w:themeColor="hyperlink"/>
      <w:u w:val="single"/>
    </w:rPr>
  </w:style>
  <w:style w:type="character" w:customStyle="1" w:styleId="UnresolvedMention1">
    <w:name w:val="Unresolved Mention1"/>
    <w:basedOn w:val="DefaultParagraphFont"/>
    <w:uiPriority w:val="99"/>
    <w:semiHidden/>
    <w:unhideWhenUsed/>
    <w:rsid w:val="00EC6040"/>
    <w:rPr>
      <w:color w:val="605E5C"/>
      <w:shd w:val="clear" w:color="auto" w:fill="E1DFDD"/>
    </w:rPr>
  </w:style>
  <w:style w:type="character" w:styleId="FollowedHyperlink">
    <w:name w:val="FollowedHyperlink"/>
    <w:basedOn w:val="DefaultParagraphFont"/>
    <w:uiPriority w:val="99"/>
    <w:semiHidden/>
    <w:unhideWhenUsed/>
    <w:rsid w:val="00EC6040"/>
    <w:rPr>
      <w:color w:val="954F72" w:themeColor="followedHyperlink"/>
      <w:u w:val="single"/>
    </w:rPr>
  </w:style>
  <w:style w:type="character" w:customStyle="1" w:styleId="apple-converted-space">
    <w:name w:val="apple-converted-space"/>
    <w:basedOn w:val="DefaultParagraphFont"/>
    <w:rsid w:val="006F28D2"/>
  </w:style>
  <w:style w:type="character" w:styleId="CommentReference">
    <w:name w:val="annotation reference"/>
    <w:basedOn w:val="DefaultParagraphFont"/>
    <w:uiPriority w:val="99"/>
    <w:semiHidden/>
    <w:unhideWhenUsed/>
    <w:rsid w:val="001B1A4B"/>
    <w:rPr>
      <w:sz w:val="16"/>
      <w:szCs w:val="16"/>
    </w:rPr>
  </w:style>
  <w:style w:type="paragraph" w:styleId="CommentText">
    <w:name w:val="annotation text"/>
    <w:basedOn w:val="Normal"/>
    <w:link w:val="CommentTextChar"/>
    <w:uiPriority w:val="99"/>
    <w:semiHidden/>
    <w:unhideWhenUsed/>
    <w:rsid w:val="001B1A4B"/>
    <w:pPr>
      <w:spacing w:line="240" w:lineRule="auto"/>
    </w:pPr>
    <w:rPr>
      <w:sz w:val="20"/>
      <w:szCs w:val="20"/>
    </w:rPr>
  </w:style>
  <w:style w:type="character" w:customStyle="1" w:styleId="CommentTextChar">
    <w:name w:val="Comment Text Char"/>
    <w:basedOn w:val="DefaultParagraphFont"/>
    <w:link w:val="CommentText"/>
    <w:uiPriority w:val="99"/>
    <w:semiHidden/>
    <w:rsid w:val="001B1A4B"/>
    <w:rPr>
      <w:sz w:val="20"/>
      <w:szCs w:val="20"/>
    </w:rPr>
  </w:style>
  <w:style w:type="paragraph" w:styleId="CommentSubject">
    <w:name w:val="annotation subject"/>
    <w:basedOn w:val="CommentText"/>
    <w:next w:val="CommentText"/>
    <w:link w:val="CommentSubjectChar"/>
    <w:uiPriority w:val="99"/>
    <w:semiHidden/>
    <w:unhideWhenUsed/>
    <w:rsid w:val="001B1A4B"/>
    <w:rPr>
      <w:b/>
      <w:bCs/>
    </w:rPr>
  </w:style>
  <w:style w:type="character" w:customStyle="1" w:styleId="CommentSubjectChar">
    <w:name w:val="Comment Subject Char"/>
    <w:basedOn w:val="CommentTextChar"/>
    <w:link w:val="CommentSubject"/>
    <w:uiPriority w:val="99"/>
    <w:semiHidden/>
    <w:rsid w:val="001B1A4B"/>
    <w:rPr>
      <w:b/>
      <w:bCs/>
      <w:sz w:val="20"/>
      <w:szCs w:val="20"/>
    </w:rPr>
  </w:style>
  <w:style w:type="paragraph" w:styleId="Revision">
    <w:name w:val="Revision"/>
    <w:hidden/>
    <w:uiPriority w:val="99"/>
    <w:semiHidden/>
    <w:rsid w:val="001B1A4B"/>
    <w:pPr>
      <w:spacing w:after="0" w:line="240" w:lineRule="auto"/>
    </w:pPr>
  </w:style>
  <w:style w:type="paragraph" w:customStyle="1" w:styleId="BasicParagraph">
    <w:name w:val="[Basic Paragraph]"/>
    <w:basedOn w:val="Normal"/>
    <w:uiPriority w:val="99"/>
    <w:rsid w:val="00ED5EE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UnresolvedMention2">
    <w:name w:val="Unresolved Mention2"/>
    <w:basedOn w:val="DefaultParagraphFont"/>
    <w:uiPriority w:val="99"/>
    <w:semiHidden/>
    <w:unhideWhenUsed/>
    <w:rsid w:val="00A03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41299">
      <w:bodyDiv w:val="1"/>
      <w:marLeft w:val="0"/>
      <w:marRight w:val="0"/>
      <w:marTop w:val="0"/>
      <w:marBottom w:val="0"/>
      <w:divBdr>
        <w:top w:val="none" w:sz="0" w:space="0" w:color="auto"/>
        <w:left w:val="none" w:sz="0" w:space="0" w:color="auto"/>
        <w:bottom w:val="none" w:sz="0" w:space="0" w:color="auto"/>
        <w:right w:val="none" w:sz="0" w:space="0" w:color="auto"/>
      </w:divBdr>
      <w:divsChild>
        <w:div w:id="65419024">
          <w:marLeft w:val="0"/>
          <w:marRight w:val="0"/>
          <w:marTop w:val="0"/>
          <w:marBottom w:val="0"/>
          <w:divBdr>
            <w:top w:val="none" w:sz="0" w:space="0" w:color="auto"/>
            <w:left w:val="none" w:sz="0" w:space="0" w:color="auto"/>
            <w:bottom w:val="none" w:sz="0" w:space="0" w:color="auto"/>
            <w:right w:val="none" w:sz="0" w:space="0" w:color="auto"/>
          </w:divBdr>
          <w:divsChild>
            <w:div w:id="1544173262">
              <w:marLeft w:val="0"/>
              <w:marRight w:val="0"/>
              <w:marTop w:val="0"/>
              <w:marBottom w:val="0"/>
              <w:divBdr>
                <w:top w:val="none" w:sz="0" w:space="0" w:color="auto"/>
                <w:left w:val="none" w:sz="0" w:space="0" w:color="auto"/>
                <w:bottom w:val="none" w:sz="0" w:space="0" w:color="auto"/>
                <w:right w:val="none" w:sz="0" w:space="0" w:color="auto"/>
              </w:divBdr>
              <w:divsChild>
                <w:div w:id="464086966">
                  <w:marLeft w:val="0"/>
                  <w:marRight w:val="0"/>
                  <w:marTop w:val="0"/>
                  <w:marBottom w:val="0"/>
                  <w:divBdr>
                    <w:top w:val="none" w:sz="0" w:space="0" w:color="auto"/>
                    <w:left w:val="none" w:sz="0" w:space="0" w:color="auto"/>
                    <w:bottom w:val="none" w:sz="0" w:space="0" w:color="auto"/>
                    <w:right w:val="none" w:sz="0" w:space="0" w:color="auto"/>
                  </w:divBdr>
                  <w:divsChild>
                    <w:div w:id="2079017243">
                      <w:marLeft w:val="0"/>
                      <w:marRight w:val="0"/>
                      <w:marTop w:val="0"/>
                      <w:marBottom w:val="0"/>
                      <w:divBdr>
                        <w:top w:val="none" w:sz="0" w:space="0" w:color="auto"/>
                        <w:left w:val="none" w:sz="0" w:space="0" w:color="auto"/>
                        <w:bottom w:val="none" w:sz="0" w:space="0" w:color="auto"/>
                        <w:right w:val="none" w:sz="0" w:space="0" w:color="auto"/>
                      </w:divBdr>
                      <w:divsChild>
                        <w:div w:id="496925758">
                          <w:marLeft w:val="0"/>
                          <w:marRight w:val="0"/>
                          <w:marTop w:val="0"/>
                          <w:marBottom w:val="0"/>
                          <w:divBdr>
                            <w:top w:val="none" w:sz="0" w:space="0" w:color="auto"/>
                            <w:left w:val="none" w:sz="0" w:space="0" w:color="auto"/>
                            <w:bottom w:val="none" w:sz="0" w:space="0" w:color="auto"/>
                            <w:right w:val="none" w:sz="0" w:space="0" w:color="auto"/>
                          </w:divBdr>
                          <w:divsChild>
                            <w:div w:id="47188979">
                              <w:marLeft w:val="0"/>
                              <w:marRight w:val="0"/>
                              <w:marTop w:val="0"/>
                              <w:marBottom w:val="0"/>
                              <w:divBdr>
                                <w:top w:val="none" w:sz="0" w:space="0" w:color="auto"/>
                                <w:left w:val="none" w:sz="0" w:space="0" w:color="auto"/>
                                <w:bottom w:val="none" w:sz="0" w:space="0" w:color="auto"/>
                                <w:right w:val="none" w:sz="0" w:space="0" w:color="auto"/>
                              </w:divBdr>
                            </w:div>
                            <w:div w:id="1953390842">
                              <w:marLeft w:val="0"/>
                              <w:marRight w:val="0"/>
                              <w:marTop w:val="0"/>
                              <w:marBottom w:val="0"/>
                              <w:divBdr>
                                <w:top w:val="none" w:sz="0" w:space="0" w:color="auto"/>
                                <w:left w:val="none" w:sz="0" w:space="0" w:color="auto"/>
                                <w:bottom w:val="none" w:sz="0" w:space="0" w:color="auto"/>
                                <w:right w:val="none" w:sz="0" w:space="0" w:color="auto"/>
                              </w:divBdr>
                            </w:div>
                            <w:div w:id="1859271651">
                              <w:marLeft w:val="0"/>
                              <w:marRight w:val="0"/>
                              <w:marTop w:val="0"/>
                              <w:marBottom w:val="0"/>
                              <w:divBdr>
                                <w:top w:val="none" w:sz="0" w:space="0" w:color="auto"/>
                                <w:left w:val="none" w:sz="0" w:space="0" w:color="auto"/>
                                <w:bottom w:val="none" w:sz="0" w:space="0" w:color="auto"/>
                                <w:right w:val="none" w:sz="0" w:space="0" w:color="auto"/>
                              </w:divBdr>
                            </w:div>
                            <w:div w:id="2127775053">
                              <w:marLeft w:val="0"/>
                              <w:marRight w:val="0"/>
                              <w:marTop w:val="0"/>
                              <w:marBottom w:val="0"/>
                              <w:divBdr>
                                <w:top w:val="none" w:sz="0" w:space="0" w:color="auto"/>
                                <w:left w:val="none" w:sz="0" w:space="0" w:color="auto"/>
                                <w:bottom w:val="none" w:sz="0" w:space="0" w:color="auto"/>
                                <w:right w:val="none" w:sz="0" w:space="0" w:color="auto"/>
                              </w:divBdr>
                            </w:div>
                            <w:div w:id="780758181">
                              <w:marLeft w:val="0"/>
                              <w:marRight w:val="0"/>
                              <w:marTop w:val="0"/>
                              <w:marBottom w:val="0"/>
                              <w:divBdr>
                                <w:top w:val="none" w:sz="0" w:space="0" w:color="auto"/>
                                <w:left w:val="none" w:sz="0" w:space="0" w:color="auto"/>
                                <w:bottom w:val="none" w:sz="0" w:space="0" w:color="auto"/>
                                <w:right w:val="none" w:sz="0" w:space="0" w:color="auto"/>
                              </w:divBdr>
                            </w:div>
                            <w:div w:id="255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834128">
      <w:bodyDiv w:val="1"/>
      <w:marLeft w:val="0"/>
      <w:marRight w:val="0"/>
      <w:marTop w:val="0"/>
      <w:marBottom w:val="0"/>
      <w:divBdr>
        <w:top w:val="none" w:sz="0" w:space="0" w:color="auto"/>
        <w:left w:val="none" w:sz="0" w:space="0" w:color="auto"/>
        <w:bottom w:val="none" w:sz="0" w:space="0" w:color="auto"/>
        <w:right w:val="none" w:sz="0" w:space="0" w:color="auto"/>
      </w:divBdr>
    </w:div>
    <w:div w:id="549655020">
      <w:bodyDiv w:val="1"/>
      <w:marLeft w:val="0"/>
      <w:marRight w:val="0"/>
      <w:marTop w:val="0"/>
      <w:marBottom w:val="0"/>
      <w:divBdr>
        <w:top w:val="none" w:sz="0" w:space="0" w:color="auto"/>
        <w:left w:val="none" w:sz="0" w:space="0" w:color="auto"/>
        <w:bottom w:val="none" w:sz="0" w:space="0" w:color="auto"/>
        <w:right w:val="none" w:sz="0" w:space="0" w:color="auto"/>
      </w:divBdr>
    </w:div>
    <w:div w:id="581064208">
      <w:bodyDiv w:val="1"/>
      <w:marLeft w:val="0"/>
      <w:marRight w:val="0"/>
      <w:marTop w:val="0"/>
      <w:marBottom w:val="0"/>
      <w:divBdr>
        <w:top w:val="none" w:sz="0" w:space="0" w:color="auto"/>
        <w:left w:val="none" w:sz="0" w:space="0" w:color="auto"/>
        <w:bottom w:val="none" w:sz="0" w:space="0" w:color="auto"/>
        <w:right w:val="none" w:sz="0" w:space="0" w:color="auto"/>
      </w:divBdr>
      <w:divsChild>
        <w:div w:id="881863560">
          <w:marLeft w:val="0"/>
          <w:marRight w:val="0"/>
          <w:marTop w:val="0"/>
          <w:marBottom w:val="0"/>
          <w:divBdr>
            <w:top w:val="none" w:sz="0" w:space="0" w:color="auto"/>
            <w:left w:val="none" w:sz="0" w:space="0" w:color="auto"/>
            <w:bottom w:val="none" w:sz="0" w:space="0" w:color="auto"/>
            <w:right w:val="none" w:sz="0" w:space="0" w:color="auto"/>
          </w:divBdr>
          <w:divsChild>
            <w:div w:id="1307470353">
              <w:marLeft w:val="0"/>
              <w:marRight w:val="0"/>
              <w:marTop w:val="0"/>
              <w:marBottom w:val="0"/>
              <w:divBdr>
                <w:top w:val="none" w:sz="0" w:space="0" w:color="auto"/>
                <w:left w:val="none" w:sz="0" w:space="0" w:color="auto"/>
                <w:bottom w:val="none" w:sz="0" w:space="0" w:color="auto"/>
                <w:right w:val="none" w:sz="0" w:space="0" w:color="auto"/>
              </w:divBdr>
              <w:divsChild>
                <w:div w:id="1127049115">
                  <w:marLeft w:val="0"/>
                  <w:marRight w:val="0"/>
                  <w:marTop w:val="0"/>
                  <w:marBottom w:val="0"/>
                  <w:divBdr>
                    <w:top w:val="none" w:sz="0" w:space="0" w:color="auto"/>
                    <w:left w:val="none" w:sz="0" w:space="0" w:color="auto"/>
                    <w:bottom w:val="none" w:sz="0" w:space="0" w:color="auto"/>
                    <w:right w:val="none" w:sz="0" w:space="0" w:color="auto"/>
                  </w:divBdr>
                  <w:divsChild>
                    <w:div w:id="526406236">
                      <w:marLeft w:val="0"/>
                      <w:marRight w:val="0"/>
                      <w:marTop w:val="0"/>
                      <w:marBottom w:val="0"/>
                      <w:divBdr>
                        <w:top w:val="none" w:sz="0" w:space="0" w:color="auto"/>
                        <w:left w:val="none" w:sz="0" w:space="0" w:color="auto"/>
                        <w:bottom w:val="none" w:sz="0" w:space="0" w:color="auto"/>
                        <w:right w:val="none" w:sz="0" w:space="0" w:color="auto"/>
                      </w:divBdr>
                      <w:divsChild>
                        <w:div w:id="1114981538">
                          <w:marLeft w:val="0"/>
                          <w:marRight w:val="0"/>
                          <w:marTop w:val="0"/>
                          <w:marBottom w:val="0"/>
                          <w:divBdr>
                            <w:top w:val="none" w:sz="0" w:space="0" w:color="auto"/>
                            <w:left w:val="none" w:sz="0" w:space="0" w:color="auto"/>
                            <w:bottom w:val="none" w:sz="0" w:space="0" w:color="auto"/>
                            <w:right w:val="none" w:sz="0" w:space="0" w:color="auto"/>
                          </w:divBdr>
                          <w:divsChild>
                            <w:div w:id="1056508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27841">
      <w:bodyDiv w:val="1"/>
      <w:marLeft w:val="0"/>
      <w:marRight w:val="0"/>
      <w:marTop w:val="0"/>
      <w:marBottom w:val="0"/>
      <w:divBdr>
        <w:top w:val="none" w:sz="0" w:space="0" w:color="auto"/>
        <w:left w:val="none" w:sz="0" w:space="0" w:color="auto"/>
        <w:bottom w:val="none" w:sz="0" w:space="0" w:color="auto"/>
        <w:right w:val="none" w:sz="0" w:space="0" w:color="auto"/>
      </w:divBdr>
    </w:div>
    <w:div w:id="657922404">
      <w:bodyDiv w:val="1"/>
      <w:marLeft w:val="0"/>
      <w:marRight w:val="0"/>
      <w:marTop w:val="0"/>
      <w:marBottom w:val="0"/>
      <w:divBdr>
        <w:top w:val="none" w:sz="0" w:space="0" w:color="auto"/>
        <w:left w:val="none" w:sz="0" w:space="0" w:color="auto"/>
        <w:bottom w:val="none" w:sz="0" w:space="0" w:color="auto"/>
        <w:right w:val="none" w:sz="0" w:space="0" w:color="auto"/>
      </w:divBdr>
    </w:div>
    <w:div w:id="692537324">
      <w:bodyDiv w:val="1"/>
      <w:marLeft w:val="0"/>
      <w:marRight w:val="0"/>
      <w:marTop w:val="0"/>
      <w:marBottom w:val="0"/>
      <w:divBdr>
        <w:top w:val="none" w:sz="0" w:space="0" w:color="auto"/>
        <w:left w:val="none" w:sz="0" w:space="0" w:color="auto"/>
        <w:bottom w:val="none" w:sz="0" w:space="0" w:color="auto"/>
        <w:right w:val="none" w:sz="0" w:space="0" w:color="auto"/>
      </w:divBdr>
      <w:divsChild>
        <w:div w:id="1058362992">
          <w:marLeft w:val="0"/>
          <w:marRight w:val="0"/>
          <w:marTop w:val="0"/>
          <w:marBottom w:val="0"/>
          <w:divBdr>
            <w:top w:val="none" w:sz="0" w:space="0" w:color="auto"/>
            <w:left w:val="none" w:sz="0" w:space="0" w:color="auto"/>
            <w:bottom w:val="none" w:sz="0" w:space="0" w:color="auto"/>
            <w:right w:val="none" w:sz="0" w:space="0" w:color="auto"/>
          </w:divBdr>
          <w:divsChild>
            <w:div w:id="539057287">
              <w:marLeft w:val="0"/>
              <w:marRight w:val="0"/>
              <w:marTop w:val="0"/>
              <w:marBottom w:val="0"/>
              <w:divBdr>
                <w:top w:val="none" w:sz="0" w:space="0" w:color="auto"/>
                <w:left w:val="none" w:sz="0" w:space="0" w:color="auto"/>
                <w:bottom w:val="none" w:sz="0" w:space="0" w:color="auto"/>
                <w:right w:val="none" w:sz="0" w:space="0" w:color="auto"/>
              </w:divBdr>
              <w:divsChild>
                <w:div w:id="725029350">
                  <w:marLeft w:val="0"/>
                  <w:marRight w:val="0"/>
                  <w:marTop w:val="0"/>
                  <w:marBottom w:val="0"/>
                  <w:divBdr>
                    <w:top w:val="none" w:sz="0" w:space="0" w:color="auto"/>
                    <w:left w:val="none" w:sz="0" w:space="0" w:color="auto"/>
                    <w:bottom w:val="none" w:sz="0" w:space="0" w:color="auto"/>
                    <w:right w:val="none" w:sz="0" w:space="0" w:color="auto"/>
                  </w:divBdr>
                  <w:divsChild>
                    <w:div w:id="1240482672">
                      <w:marLeft w:val="0"/>
                      <w:marRight w:val="0"/>
                      <w:marTop w:val="0"/>
                      <w:marBottom w:val="0"/>
                      <w:divBdr>
                        <w:top w:val="none" w:sz="0" w:space="0" w:color="auto"/>
                        <w:left w:val="none" w:sz="0" w:space="0" w:color="auto"/>
                        <w:bottom w:val="none" w:sz="0" w:space="0" w:color="auto"/>
                        <w:right w:val="none" w:sz="0" w:space="0" w:color="auto"/>
                      </w:divBdr>
                      <w:divsChild>
                        <w:div w:id="108163362">
                          <w:marLeft w:val="0"/>
                          <w:marRight w:val="0"/>
                          <w:marTop w:val="0"/>
                          <w:marBottom w:val="0"/>
                          <w:divBdr>
                            <w:top w:val="none" w:sz="0" w:space="0" w:color="auto"/>
                            <w:left w:val="none" w:sz="0" w:space="0" w:color="auto"/>
                            <w:bottom w:val="none" w:sz="0" w:space="0" w:color="auto"/>
                            <w:right w:val="none" w:sz="0" w:space="0" w:color="auto"/>
                          </w:divBdr>
                          <w:divsChild>
                            <w:div w:id="550965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680538">
      <w:bodyDiv w:val="1"/>
      <w:marLeft w:val="0"/>
      <w:marRight w:val="0"/>
      <w:marTop w:val="0"/>
      <w:marBottom w:val="0"/>
      <w:divBdr>
        <w:top w:val="none" w:sz="0" w:space="0" w:color="auto"/>
        <w:left w:val="none" w:sz="0" w:space="0" w:color="auto"/>
        <w:bottom w:val="none" w:sz="0" w:space="0" w:color="auto"/>
        <w:right w:val="none" w:sz="0" w:space="0" w:color="auto"/>
      </w:divBdr>
    </w:div>
    <w:div w:id="853148779">
      <w:bodyDiv w:val="1"/>
      <w:marLeft w:val="0"/>
      <w:marRight w:val="0"/>
      <w:marTop w:val="0"/>
      <w:marBottom w:val="0"/>
      <w:divBdr>
        <w:top w:val="none" w:sz="0" w:space="0" w:color="auto"/>
        <w:left w:val="none" w:sz="0" w:space="0" w:color="auto"/>
        <w:bottom w:val="none" w:sz="0" w:space="0" w:color="auto"/>
        <w:right w:val="none" w:sz="0" w:space="0" w:color="auto"/>
      </w:divBdr>
    </w:div>
    <w:div w:id="968390039">
      <w:bodyDiv w:val="1"/>
      <w:marLeft w:val="0"/>
      <w:marRight w:val="0"/>
      <w:marTop w:val="0"/>
      <w:marBottom w:val="0"/>
      <w:divBdr>
        <w:top w:val="none" w:sz="0" w:space="0" w:color="auto"/>
        <w:left w:val="none" w:sz="0" w:space="0" w:color="auto"/>
        <w:bottom w:val="none" w:sz="0" w:space="0" w:color="auto"/>
        <w:right w:val="none" w:sz="0" w:space="0" w:color="auto"/>
      </w:divBdr>
    </w:div>
    <w:div w:id="1314875350">
      <w:bodyDiv w:val="1"/>
      <w:marLeft w:val="0"/>
      <w:marRight w:val="0"/>
      <w:marTop w:val="0"/>
      <w:marBottom w:val="0"/>
      <w:divBdr>
        <w:top w:val="none" w:sz="0" w:space="0" w:color="auto"/>
        <w:left w:val="none" w:sz="0" w:space="0" w:color="auto"/>
        <w:bottom w:val="none" w:sz="0" w:space="0" w:color="auto"/>
        <w:right w:val="none" w:sz="0" w:space="0" w:color="auto"/>
      </w:divBdr>
    </w:div>
    <w:div w:id="1326779799">
      <w:bodyDiv w:val="1"/>
      <w:marLeft w:val="0"/>
      <w:marRight w:val="0"/>
      <w:marTop w:val="0"/>
      <w:marBottom w:val="0"/>
      <w:divBdr>
        <w:top w:val="none" w:sz="0" w:space="0" w:color="auto"/>
        <w:left w:val="none" w:sz="0" w:space="0" w:color="auto"/>
        <w:bottom w:val="none" w:sz="0" w:space="0" w:color="auto"/>
        <w:right w:val="none" w:sz="0" w:space="0" w:color="auto"/>
      </w:divBdr>
    </w:div>
    <w:div w:id="1540505882">
      <w:bodyDiv w:val="1"/>
      <w:marLeft w:val="0"/>
      <w:marRight w:val="0"/>
      <w:marTop w:val="0"/>
      <w:marBottom w:val="0"/>
      <w:divBdr>
        <w:top w:val="none" w:sz="0" w:space="0" w:color="auto"/>
        <w:left w:val="none" w:sz="0" w:space="0" w:color="auto"/>
        <w:bottom w:val="none" w:sz="0" w:space="0" w:color="auto"/>
        <w:right w:val="none" w:sz="0" w:space="0" w:color="auto"/>
      </w:divBdr>
      <w:divsChild>
        <w:div w:id="716659711">
          <w:marLeft w:val="0"/>
          <w:marRight w:val="0"/>
          <w:marTop w:val="0"/>
          <w:marBottom w:val="0"/>
          <w:divBdr>
            <w:top w:val="none" w:sz="0" w:space="0" w:color="auto"/>
            <w:left w:val="none" w:sz="0" w:space="0" w:color="auto"/>
            <w:bottom w:val="none" w:sz="0" w:space="0" w:color="auto"/>
            <w:right w:val="none" w:sz="0" w:space="0" w:color="auto"/>
          </w:divBdr>
          <w:divsChild>
            <w:div w:id="1567297001">
              <w:marLeft w:val="0"/>
              <w:marRight w:val="0"/>
              <w:marTop w:val="0"/>
              <w:marBottom w:val="0"/>
              <w:divBdr>
                <w:top w:val="none" w:sz="0" w:space="0" w:color="auto"/>
                <w:left w:val="none" w:sz="0" w:space="0" w:color="auto"/>
                <w:bottom w:val="none" w:sz="0" w:space="0" w:color="auto"/>
                <w:right w:val="none" w:sz="0" w:space="0" w:color="auto"/>
              </w:divBdr>
              <w:divsChild>
                <w:div w:id="773942812">
                  <w:marLeft w:val="0"/>
                  <w:marRight w:val="0"/>
                  <w:marTop w:val="0"/>
                  <w:marBottom w:val="0"/>
                  <w:divBdr>
                    <w:top w:val="none" w:sz="0" w:space="0" w:color="auto"/>
                    <w:left w:val="none" w:sz="0" w:space="0" w:color="auto"/>
                    <w:bottom w:val="none" w:sz="0" w:space="0" w:color="auto"/>
                    <w:right w:val="none" w:sz="0" w:space="0" w:color="auto"/>
                  </w:divBdr>
                  <w:divsChild>
                    <w:div w:id="2243256">
                      <w:marLeft w:val="0"/>
                      <w:marRight w:val="0"/>
                      <w:marTop w:val="0"/>
                      <w:marBottom w:val="0"/>
                      <w:divBdr>
                        <w:top w:val="none" w:sz="0" w:space="0" w:color="auto"/>
                        <w:left w:val="none" w:sz="0" w:space="0" w:color="auto"/>
                        <w:bottom w:val="none" w:sz="0" w:space="0" w:color="auto"/>
                        <w:right w:val="none" w:sz="0" w:space="0" w:color="auto"/>
                      </w:divBdr>
                      <w:divsChild>
                        <w:div w:id="2085452532">
                          <w:marLeft w:val="0"/>
                          <w:marRight w:val="0"/>
                          <w:marTop w:val="0"/>
                          <w:marBottom w:val="0"/>
                          <w:divBdr>
                            <w:top w:val="none" w:sz="0" w:space="0" w:color="auto"/>
                            <w:left w:val="none" w:sz="0" w:space="0" w:color="auto"/>
                            <w:bottom w:val="none" w:sz="0" w:space="0" w:color="auto"/>
                            <w:right w:val="none" w:sz="0" w:space="0" w:color="auto"/>
                          </w:divBdr>
                          <w:divsChild>
                            <w:div w:id="13619778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08577">
      <w:bodyDiv w:val="1"/>
      <w:marLeft w:val="0"/>
      <w:marRight w:val="0"/>
      <w:marTop w:val="0"/>
      <w:marBottom w:val="0"/>
      <w:divBdr>
        <w:top w:val="none" w:sz="0" w:space="0" w:color="auto"/>
        <w:left w:val="none" w:sz="0" w:space="0" w:color="auto"/>
        <w:bottom w:val="none" w:sz="0" w:space="0" w:color="auto"/>
        <w:right w:val="none" w:sz="0" w:space="0" w:color="auto"/>
      </w:divBdr>
    </w:div>
    <w:div w:id="20742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pingopportunityca.org/" TargetMode="External"/><Relationship Id="rId13" Type="http://schemas.openxmlformats.org/officeDocument/2006/relationships/hyperlink" Target="http://leginfo.legislature.ca.gov/faces/billNavClient.xhtml?bill_id=201920200SB50"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mappingopportunityca.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DD66F-8D85-274F-9F70-7DF33A99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Abrams</dc:creator>
  <cp:keywords/>
  <dc:description/>
  <cp:lastModifiedBy>Brandi Campbell Wood</cp:lastModifiedBy>
  <cp:revision>19</cp:revision>
  <cp:lastPrinted>2020-01-09T18:39:00Z</cp:lastPrinted>
  <dcterms:created xsi:type="dcterms:W3CDTF">2020-01-15T01:33:00Z</dcterms:created>
  <dcterms:modified xsi:type="dcterms:W3CDTF">2020-01-22T22:00:00Z</dcterms:modified>
</cp:coreProperties>
</file>