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1728"/>
        <w:gridCol w:w="90"/>
        <w:gridCol w:w="5400"/>
        <w:gridCol w:w="810"/>
        <w:gridCol w:w="1620"/>
      </w:tblGrid>
      <w:tr w:rsidR="00DC117F" w:rsidRPr="00562737" w14:paraId="797641F4" w14:textId="77777777">
        <w:tc>
          <w:tcPr>
            <w:tcW w:w="1728" w:type="dxa"/>
          </w:tcPr>
          <w:p w14:paraId="265ED6AA" w14:textId="1E1609D6" w:rsidR="00DC117F" w:rsidRPr="00246A52" w:rsidRDefault="001622AF">
            <w:pPr>
              <w:jc w:val="center"/>
              <w:rPr>
                <w:rFonts w:ascii="Arial" w:hAnsi="Arial" w:cs="Arial"/>
              </w:rPr>
            </w:pPr>
            <w:r>
              <w:rPr>
                <w:rFonts w:ascii="Arial" w:hAnsi="Arial" w:cs="Arial"/>
                <w:noProof/>
              </w:rPr>
              <w:drawing>
                <wp:inline distT="0" distB="0" distL="0" distR="0" wp14:anchorId="35B00D47" wp14:editId="6D8EE5E2">
                  <wp:extent cx="863600" cy="863600"/>
                  <wp:effectExtent l="0" t="0" r="0" b="0"/>
                  <wp:docPr id="1" name="Picture 1" descr="Color_offic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offic_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tc>
        <w:tc>
          <w:tcPr>
            <w:tcW w:w="6300" w:type="dxa"/>
            <w:gridSpan w:val="3"/>
          </w:tcPr>
          <w:p w14:paraId="1F5E03BD" w14:textId="77777777" w:rsidR="00DC117F" w:rsidRPr="0065000F" w:rsidRDefault="00DC117F" w:rsidP="00DC117F">
            <w:pPr>
              <w:pStyle w:val="Heading1"/>
              <w:rPr>
                <w:rFonts w:ascii="Arial" w:hAnsi="Arial" w:cs="Arial"/>
                <w:sz w:val="24"/>
                <w:szCs w:val="24"/>
              </w:rPr>
            </w:pPr>
          </w:p>
          <w:p w14:paraId="74C2242D" w14:textId="77777777" w:rsidR="00DC117F" w:rsidRPr="00246A52" w:rsidRDefault="00DC117F" w:rsidP="00DC117F">
            <w:pPr>
              <w:pStyle w:val="Heading1"/>
              <w:rPr>
                <w:rFonts w:ascii="Arial" w:hAnsi="Arial" w:cs="Arial"/>
              </w:rPr>
            </w:pPr>
            <w:r w:rsidRPr="00246A52">
              <w:rPr>
                <w:rFonts w:ascii="Arial" w:hAnsi="Arial" w:cs="Arial"/>
              </w:rPr>
              <w:t>COUNTY OF SAN MATEO</w:t>
            </w:r>
          </w:p>
          <w:p w14:paraId="56F2CD3B" w14:textId="77777777" w:rsidR="00DC117F" w:rsidRPr="00246A52" w:rsidRDefault="00DC117F" w:rsidP="00DC117F">
            <w:pPr>
              <w:pStyle w:val="Heading2"/>
              <w:rPr>
                <w:rFonts w:ascii="Arial" w:hAnsi="Arial" w:cs="Arial"/>
              </w:rPr>
            </w:pPr>
            <w:r w:rsidRPr="00246A52">
              <w:rPr>
                <w:rFonts w:ascii="Arial" w:hAnsi="Arial" w:cs="Arial"/>
              </w:rPr>
              <w:t>Inter-Departmental Correspondence</w:t>
            </w:r>
          </w:p>
          <w:p w14:paraId="3BB82614" w14:textId="77777777" w:rsidR="00DC117F" w:rsidRPr="00D12361" w:rsidRDefault="00D12361">
            <w:pPr>
              <w:jc w:val="center"/>
              <w:rPr>
                <w:rFonts w:ascii="Arial" w:hAnsi="Arial" w:cs="Arial"/>
                <w:b/>
              </w:rPr>
            </w:pPr>
            <w:r w:rsidRPr="00D12361">
              <w:rPr>
                <w:rFonts w:ascii="Arial" w:hAnsi="Arial" w:cs="Arial"/>
                <w:b/>
              </w:rPr>
              <w:t>County Counsel</w:t>
            </w:r>
          </w:p>
        </w:tc>
        <w:tc>
          <w:tcPr>
            <w:tcW w:w="1620" w:type="dxa"/>
          </w:tcPr>
          <w:p w14:paraId="22999859" w14:textId="6D52D9C8" w:rsidR="00DC117F" w:rsidRPr="00A87C1E" w:rsidRDefault="001622AF" w:rsidP="00DC117F">
            <w:pPr>
              <w:rPr>
                <w:rFonts w:ascii="Arial" w:hAnsi="Arial" w:cs="Arial"/>
              </w:rPr>
            </w:pPr>
            <w:bookmarkStart w:id="0" w:name="_GoBack"/>
            <w:bookmarkEnd w:id="0"/>
            <w:r>
              <w:rPr>
                <w:rFonts w:ascii="Arial" w:hAnsi="Arial" w:cs="Arial"/>
                <w:noProof/>
              </w:rPr>
              <w:drawing>
                <wp:inline distT="0" distB="0" distL="0" distR="0" wp14:anchorId="3DFA2A32" wp14:editId="54020A52">
                  <wp:extent cx="889000" cy="939800"/>
                  <wp:effectExtent l="0" t="0" r="0" b="0"/>
                  <wp:docPr id="2" name="Picture 2" descr="Collaborative_logoty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borative_logotype-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939800"/>
                          </a:xfrm>
                          <a:prstGeom prst="rect">
                            <a:avLst/>
                          </a:prstGeom>
                          <a:noFill/>
                          <a:ln>
                            <a:noFill/>
                          </a:ln>
                        </pic:spPr>
                      </pic:pic>
                    </a:graphicData>
                  </a:graphic>
                </wp:inline>
              </w:drawing>
            </w:r>
          </w:p>
        </w:tc>
      </w:tr>
      <w:tr w:rsidR="00DC117F" w14:paraId="0341DF30" w14:textId="77777777">
        <w:tc>
          <w:tcPr>
            <w:tcW w:w="9648" w:type="dxa"/>
            <w:gridSpan w:val="5"/>
          </w:tcPr>
          <w:p w14:paraId="48CD339D" w14:textId="77777777" w:rsidR="00DC117F" w:rsidRPr="00246A52" w:rsidRDefault="00DC117F" w:rsidP="00DC117F">
            <w:pPr>
              <w:pStyle w:val="Heading2"/>
              <w:rPr>
                <w:rFonts w:ascii="Arial" w:hAnsi="Arial" w:cs="Arial"/>
              </w:rPr>
            </w:pPr>
          </w:p>
        </w:tc>
      </w:tr>
      <w:tr w:rsidR="00DC117F" w14:paraId="02A98276" w14:textId="77777777">
        <w:trPr>
          <w:cantSplit/>
        </w:trPr>
        <w:tc>
          <w:tcPr>
            <w:tcW w:w="7218" w:type="dxa"/>
            <w:gridSpan w:val="3"/>
          </w:tcPr>
          <w:p w14:paraId="111BDD0D" w14:textId="77777777" w:rsidR="00DC117F" w:rsidRPr="00246A52" w:rsidRDefault="00DC117F">
            <w:pPr>
              <w:jc w:val="right"/>
              <w:rPr>
                <w:rFonts w:ascii="Arial" w:hAnsi="Arial" w:cs="Arial"/>
              </w:rPr>
            </w:pPr>
            <w:r w:rsidRPr="00246A52">
              <w:rPr>
                <w:rFonts w:ascii="Arial" w:hAnsi="Arial" w:cs="Arial"/>
                <w:b/>
              </w:rPr>
              <w:t>DATE:</w:t>
            </w:r>
          </w:p>
        </w:tc>
        <w:tc>
          <w:tcPr>
            <w:tcW w:w="2430" w:type="dxa"/>
            <w:gridSpan w:val="2"/>
          </w:tcPr>
          <w:p w14:paraId="74FC006E" w14:textId="77777777" w:rsidR="00DC117F" w:rsidRPr="00246A52" w:rsidRDefault="008F03AF">
            <w:pPr>
              <w:tabs>
                <w:tab w:val="left" w:pos="162"/>
              </w:tabs>
              <w:rPr>
                <w:rFonts w:ascii="Arial" w:hAnsi="Arial" w:cs="Arial"/>
              </w:rPr>
            </w:pPr>
            <w:r>
              <w:rPr>
                <w:rFonts w:ascii="Arial" w:hAnsi="Arial" w:cs="Arial"/>
              </w:rPr>
              <w:t>March 18, 2016</w:t>
            </w:r>
          </w:p>
        </w:tc>
      </w:tr>
      <w:tr w:rsidR="00DC117F" w14:paraId="1E6C4A59" w14:textId="77777777">
        <w:tc>
          <w:tcPr>
            <w:tcW w:w="7218" w:type="dxa"/>
            <w:gridSpan w:val="3"/>
          </w:tcPr>
          <w:p w14:paraId="3BFE9E24" w14:textId="77777777" w:rsidR="00DC117F" w:rsidRPr="00246A52" w:rsidRDefault="00DC117F">
            <w:pPr>
              <w:jc w:val="right"/>
              <w:rPr>
                <w:rFonts w:ascii="Arial" w:hAnsi="Arial" w:cs="Arial"/>
              </w:rPr>
            </w:pPr>
            <w:r w:rsidRPr="00246A52">
              <w:rPr>
                <w:rFonts w:ascii="Arial" w:hAnsi="Arial" w:cs="Arial"/>
                <w:b/>
              </w:rPr>
              <w:t xml:space="preserve">BOARD MEETING DATE:        </w:t>
            </w:r>
          </w:p>
        </w:tc>
        <w:tc>
          <w:tcPr>
            <w:tcW w:w="2430" w:type="dxa"/>
            <w:gridSpan w:val="2"/>
          </w:tcPr>
          <w:p w14:paraId="3205AA8A" w14:textId="77777777" w:rsidR="00DC117F" w:rsidRPr="00246A52" w:rsidRDefault="008F03AF">
            <w:pPr>
              <w:rPr>
                <w:rFonts w:ascii="Arial" w:hAnsi="Arial" w:cs="Arial"/>
              </w:rPr>
            </w:pPr>
            <w:r>
              <w:rPr>
                <w:rFonts w:ascii="Arial" w:hAnsi="Arial" w:cs="Arial"/>
              </w:rPr>
              <w:t>March 29, 2016</w:t>
            </w:r>
          </w:p>
        </w:tc>
      </w:tr>
      <w:tr w:rsidR="00DC117F" w14:paraId="3CCDC67A" w14:textId="77777777">
        <w:tc>
          <w:tcPr>
            <w:tcW w:w="7218" w:type="dxa"/>
            <w:gridSpan w:val="3"/>
          </w:tcPr>
          <w:p w14:paraId="3B6D067C" w14:textId="77777777" w:rsidR="00DC117F" w:rsidRPr="00246A52" w:rsidRDefault="00DC117F">
            <w:pPr>
              <w:jc w:val="right"/>
              <w:rPr>
                <w:rFonts w:ascii="Arial" w:hAnsi="Arial" w:cs="Arial"/>
                <w:b/>
              </w:rPr>
            </w:pPr>
            <w:r w:rsidRPr="00246A52">
              <w:rPr>
                <w:rFonts w:ascii="Arial" w:hAnsi="Arial" w:cs="Arial"/>
                <w:b/>
              </w:rPr>
              <w:t>SPECIAL NOTICE/HEARING:</w:t>
            </w:r>
          </w:p>
        </w:tc>
        <w:tc>
          <w:tcPr>
            <w:tcW w:w="2430" w:type="dxa"/>
            <w:gridSpan w:val="2"/>
          </w:tcPr>
          <w:p w14:paraId="609E87D4" w14:textId="77777777" w:rsidR="00DC117F" w:rsidRPr="00246A52" w:rsidRDefault="008F03AF">
            <w:pPr>
              <w:rPr>
                <w:rFonts w:ascii="Arial" w:hAnsi="Arial" w:cs="Arial"/>
              </w:rPr>
            </w:pPr>
            <w:r>
              <w:rPr>
                <w:rFonts w:ascii="Arial" w:hAnsi="Arial" w:cs="Arial"/>
              </w:rPr>
              <w:t>None</w:t>
            </w:r>
          </w:p>
        </w:tc>
      </w:tr>
      <w:tr w:rsidR="00DC117F" w14:paraId="62455255" w14:textId="77777777">
        <w:tc>
          <w:tcPr>
            <w:tcW w:w="7218" w:type="dxa"/>
            <w:gridSpan w:val="3"/>
          </w:tcPr>
          <w:p w14:paraId="3D4416D4" w14:textId="77777777" w:rsidR="00DC117F" w:rsidRPr="00246A52" w:rsidRDefault="00DC117F">
            <w:pPr>
              <w:jc w:val="right"/>
              <w:rPr>
                <w:rFonts w:ascii="Arial" w:hAnsi="Arial" w:cs="Arial"/>
                <w:b/>
              </w:rPr>
            </w:pPr>
            <w:r w:rsidRPr="00246A52">
              <w:rPr>
                <w:rFonts w:ascii="Arial" w:hAnsi="Arial" w:cs="Arial"/>
                <w:b/>
              </w:rPr>
              <w:t>VOTE REQUIRED:</w:t>
            </w:r>
          </w:p>
        </w:tc>
        <w:tc>
          <w:tcPr>
            <w:tcW w:w="2430" w:type="dxa"/>
            <w:gridSpan w:val="2"/>
          </w:tcPr>
          <w:p w14:paraId="782C9B0E" w14:textId="77777777" w:rsidR="00DC117F" w:rsidRPr="00246A52" w:rsidRDefault="008F03AF" w:rsidP="008F03AF">
            <w:pPr>
              <w:rPr>
                <w:rFonts w:ascii="Arial" w:hAnsi="Arial" w:cs="Arial"/>
              </w:rPr>
            </w:pPr>
            <w:r>
              <w:rPr>
                <w:rFonts w:ascii="Arial" w:hAnsi="Arial" w:cs="Arial"/>
              </w:rPr>
              <w:t>None</w:t>
            </w:r>
          </w:p>
        </w:tc>
      </w:tr>
      <w:tr w:rsidR="00DC117F" w14:paraId="46F69EC1" w14:textId="77777777">
        <w:trPr>
          <w:cantSplit/>
        </w:trPr>
        <w:tc>
          <w:tcPr>
            <w:tcW w:w="9648" w:type="dxa"/>
            <w:gridSpan w:val="5"/>
          </w:tcPr>
          <w:p w14:paraId="1874769A" w14:textId="77777777" w:rsidR="00DC117F" w:rsidRPr="00246A52" w:rsidRDefault="00DC117F">
            <w:pPr>
              <w:tabs>
                <w:tab w:val="left" w:pos="2160"/>
              </w:tabs>
              <w:rPr>
                <w:rFonts w:ascii="Arial" w:hAnsi="Arial" w:cs="Arial"/>
              </w:rPr>
            </w:pPr>
          </w:p>
        </w:tc>
      </w:tr>
      <w:tr w:rsidR="00DC117F" w14:paraId="01D4F008" w14:textId="77777777">
        <w:trPr>
          <w:cantSplit/>
        </w:trPr>
        <w:tc>
          <w:tcPr>
            <w:tcW w:w="1818" w:type="dxa"/>
            <w:gridSpan w:val="2"/>
          </w:tcPr>
          <w:p w14:paraId="7E351D6A" w14:textId="77777777" w:rsidR="00DC117F" w:rsidRPr="00246A52" w:rsidRDefault="00DC117F">
            <w:pPr>
              <w:tabs>
                <w:tab w:val="left" w:pos="2160"/>
              </w:tabs>
              <w:rPr>
                <w:rFonts w:ascii="Arial" w:hAnsi="Arial" w:cs="Arial"/>
                <w:b/>
              </w:rPr>
            </w:pPr>
            <w:r w:rsidRPr="00246A52">
              <w:rPr>
                <w:rFonts w:ascii="Arial" w:hAnsi="Arial" w:cs="Arial"/>
                <w:b/>
              </w:rPr>
              <w:t>TO:</w:t>
            </w:r>
          </w:p>
          <w:p w14:paraId="56B65A67" w14:textId="77777777" w:rsidR="00DC117F" w:rsidRPr="00246A52" w:rsidRDefault="00DC117F">
            <w:pPr>
              <w:tabs>
                <w:tab w:val="left" w:pos="2160"/>
              </w:tabs>
              <w:rPr>
                <w:rFonts w:ascii="Arial" w:hAnsi="Arial" w:cs="Arial"/>
                <w:b/>
              </w:rPr>
            </w:pPr>
          </w:p>
        </w:tc>
        <w:tc>
          <w:tcPr>
            <w:tcW w:w="7830" w:type="dxa"/>
            <w:gridSpan w:val="3"/>
          </w:tcPr>
          <w:p w14:paraId="2CB6F4AA" w14:textId="77777777" w:rsidR="00DC117F" w:rsidRPr="00246A52" w:rsidRDefault="00DC117F">
            <w:pPr>
              <w:tabs>
                <w:tab w:val="left" w:pos="2160"/>
              </w:tabs>
              <w:rPr>
                <w:rFonts w:ascii="Arial" w:hAnsi="Arial" w:cs="Arial"/>
              </w:rPr>
            </w:pPr>
            <w:r w:rsidRPr="00246A52">
              <w:rPr>
                <w:rFonts w:ascii="Arial" w:hAnsi="Arial" w:cs="Arial"/>
              </w:rPr>
              <w:t>Honorable Board of Supervisors</w:t>
            </w:r>
          </w:p>
        </w:tc>
      </w:tr>
      <w:tr w:rsidR="00DC117F" w14:paraId="46702088" w14:textId="77777777">
        <w:trPr>
          <w:cantSplit/>
        </w:trPr>
        <w:tc>
          <w:tcPr>
            <w:tcW w:w="1818" w:type="dxa"/>
            <w:gridSpan w:val="2"/>
          </w:tcPr>
          <w:p w14:paraId="61092750" w14:textId="77777777" w:rsidR="00DC117F" w:rsidRPr="00246A52" w:rsidRDefault="00DC117F">
            <w:pPr>
              <w:tabs>
                <w:tab w:val="left" w:pos="2160"/>
              </w:tabs>
              <w:rPr>
                <w:rFonts w:ascii="Arial" w:hAnsi="Arial" w:cs="Arial"/>
                <w:b/>
              </w:rPr>
            </w:pPr>
            <w:r w:rsidRPr="00246A52">
              <w:rPr>
                <w:rFonts w:ascii="Arial" w:hAnsi="Arial" w:cs="Arial"/>
                <w:b/>
              </w:rPr>
              <w:t>FROM:</w:t>
            </w:r>
          </w:p>
          <w:p w14:paraId="3736220D" w14:textId="77777777" w:rsidR="00DC117F" w:rsidRPr="00246A52" w:rsidRDefault="00DC117F">
            <w:pPr>
              <w:tabs>
                <w:tab w:val="left" w:pos="2160"/>
              </w:tabs>
              <w:rPr>
                <w:rFonts w:ascii="Arial" w:hAnsi="Arial" w:cs="Arial"/>
                <w:b/>
              </w:rPr>
            </w:pPr>
          </w:p>
        </w:tc>
        <w:tc>
          <w:tcPr>
            <w:tcW w:w="7830" w:type="dxa"/>
            <w:gridSpan w:val="3"/>
          </w:tcPr>
          <w:p w14:paraId="32C50C1D" w14:textId="77777777" w:rsidR="008F03AF" w:rsidRDefault="008F03AF">
            <w:pPr>
              <w:tabs>
                <w:tab w:val="left" w:pos="2160"/>
              </w:tabs>
              <w:rPr>
                <w:rFonts w:ascii="Arial" w:hAnsi="Arial" w:cs="Arial"/>
              </w:rPr>
            </w:pPr>
            <w:r>
              <w:rPr>
                <w:rFonts w:ascii="Arial" w:hAnsi="Arial" w:cs="Arial"/>
              </w:rPr>
              <w:t>Peggy Jensen, Deputy County Manager</w:t>
            </w:r>
          </w:p>
          <w:p w14:paraId="4C6E81A3" w14:textId="77777777" w:rsidR="00DC117F" w:rsidRPr="00246A52" w:rsidRDefault="00D12361">
            <w:pPr>
              <w:tabs>
                <w:tab w:val="left" w:pos="2160"/>
              </w:tabs>
              <w:rPr>
                <w:rFonts w:ascii="Arial" w:hAnsi="Arial" w:cs="Arial"/>
              </w:rPr>
            </w:pPr>
            <w:r>
              <w:rPr>
                <w:rFonts w:ascii="Arial" w:hAnsi="Arial" w:cs="Arial"/>
              </w:rPr>
              <w:t>John C. Beiers, County Counsel</w:t>
            </w:r>
          </w:p>
        </w:tc>
      </w:tr>
      <w:tr w:rsidR="00DC117F" w14:paraId="3265555D" w14:textId="77777777">
        <w:trPr>
          <w:cantSplit/>
        </w:trPr>
        <w:tc>
          <w:tcPr>
            <w:tcW w:w="1818" w:type="dxa"/>
            <w:gridSpan w:val="2"/>
          </w:tcPr>
          <w:p w14:paraId="569CE4D6" w14:textId="77777777" w:rsidR="00DC117F" w:rsidRPr="00246A52" w:rsidRDefault="00DC117F">
            <w:pPr>
              <w:tabs>
                <w:tab w:val="left" w:pos="2860"/>
              </w:tabs>
              <w:rPr>
                <w:rFonts w:ascii="Arial" w:hAnsi="Arial" w:cs="Arial"/>
                <w:b/>
              </w:rPr>
            </w:pPr>
            <w:r w:rsidRPr="00246A52">
              <w:rPr>
                <w:rFonts w:ascii="Arial" w:hAnsi="Arial" w:cs="Arial"/>
                <w:b/>
              </w:rPr>
              <w:t>SUBJECT:</w:t>
            </w:r>
          </w:p>
          <w:p w14:paraId="5C03C101" w14:textId="77777777" w:rsidR="00DC117F" w:rsidRPr="00246A52" w:rsidRDefault="00DC117F">
            <w:pPr>
              <w:tabs>
                <w:tab w:val="left" w:pos="2860"/>
              </w:tabs>
              <w:rPr>
                <w:rFonts w:ascii="Arial" w:hAnsi="Arial" w:cs="Arial"/>
                <w:b/>
                <w:sz w:val="20"/>
              </w:rPr>
            </w:pPr>
          </w:p>
        </w:tc>
        <w:tc>
          <w:tcPr>
            <w:tcW w:w="7830" w:type="dxa"/>
            <w:gridSpan w:val="3"/>
          </w:tcPr>
          <w:p w14:paraId="17102659" w14:textId="77777777" w:rsidR="00DC117F" w:rsidRPr="00246A52" w:rsidRDefault="008F03AF">
            <w:pPr>
              <w:tabs>
                <w:tab w:val="left" w:pos="2160"/>
              </w:tabs>
              <w:rPr>
                <w:rFonts w:ascii="Arial" w:hAnsi="Arial" w:cs="Arial"/>
                <w:u w:val="single"/>
              </w:rPr>
            </w:pPr>
            <w:r>
              <w:rPr>
                <w:rFonts w:ascii="Arial" w:hAnsi="Arial" w:cs="Arial"/>
              </w:rPr>
              <w:t>Study Session for Affordable Housing Impact Fees</w:t>
            </w:r>
          </w:p>
          <w:p w14:paraId="619BD5C8" w14:textId="77777777" w:rsidR="00DC117F" w:rsidRPr="00246A52" w:rsidRDefault="00DC117F">
            <w:pPr>
              <w:tabs>
                <w:tab w:val="left" w:pos="2160"/>
              </w:tabs>
              <w:rPr>
                <w:rFonts w:ascii="Arial" w:hAnsi="Arial" w:cs="Arial"/>
                <w:u w:val="single"/>
              </w:rPr>
            </w:pPr>
          </w:p>
        </w:tc>
      </w:tr>
      <w:tr w:rsidR="00DC117F" w14:paraId="3962B52B" w14:textId="77777777">
        <w:tc>
          <w:tcPr>
            <w:tcW w:w="9648" w:type="dxa"/>
            <w:gridSpan w:val="5"/>
          </w:tcPr>
          <w:p w14:paraId="7488A65A" w14:textId="77777777" w:rsidR="00DC117F" w:rsidRPr="00246A52" w:rsidRDefault="00DC117F">
            <w:pPr>
              <w:pStyle w:val="Heading4"/>
              <w:rPr>
                <w:rFonts w:ascii="Arial" w:hAnsi="Arial" w:cs="Arial"/>
                <w:u w:val="none"/>
              </w:rPr>
            </w:pPr>
          </w:p>
        </w:tc>
      </w:tr>
      <w:tr w:rsidR="00DC117F" w14:paraId="480A950A" w14:textId="77777777">
        <w:tc>
          <w:tcPr>
            <w:tcW w:w="9648" w:type="dxa"/>
            <w:gridSpan w:val="5"/>
          </w:tcPr>
          <w:p w14:paraId="1ACD10CF" w14:textId="77777777" w:rsidR="00DC117F" w:rsidRPr="00246A52" w:rsidRDefault="00DC117F">
            <w:pPr>
              <w:rPr>
                <w:rFonts w:ascii="Arial" w:hAnsi="Arial" w:cs="Arial"/>
                <w:b/>
                <w:u w:val="single"/>
              </w:rPr>
            </w:pPr>
            <w:r w:rsidRPr="00246A52">
              <w:rPr>
                <w:rFonts w:ascii="Arial" w:hAnsi="Arial" w:cs="Arial"/>
                <w:b/>
                <w:u w:val="single"/>
              </w:rPr>
              <w:t>RECOMMENDATION:</w:t>
            </w:r>
          </w:p>
        </w:tc>
      </w:tr>
      <w:tr w:rsidR="00DC117F" w14:paraId="1A76D5AB" w14:textId="77777777">
        <w:tc>
          <w:tcPr>
            <w:tcW w:w="9648" w:type="dxa"/>
            <w:gridSpan w:val="5"/>
          </w:tcPr>
          <w:p w14:paraId="5904712E" w14:textId="77777777" w:rsidR="00DC117F" w:rsidRPr="00246A52" w:rsidRDefault="008F03AF">
            <w:pPr>
              <w:rPr>
                <w:rFonts w:ascii="Arial" w:hAnsi="Arial" w:cs="Arial"/>
              </w:rPr>
            </w:pPr>
            <w:r>
              <w:rPr>
                <w:rFonts w:ascii="Arial" w:hAnsi="Arial" w:cs="Arial"/>
              </w:rPr>
              <w:t xml:space="preserve">Receive information regarding affordable housing residential impact fee and commercial linkage fee and provide guidance to staff regarding next steps. </w:t>
            </w:r>
            <w:r w:rsidR="00DC117F" w:rsidRPr="00246A52">
              <w:rPr>
                <w:rFonts w:ascii="Arial" w:hAnsi="Arial" w:cs="Arial"/>
              </w:rPr>
              <w:t xml:space="preserve"> </w:t>
            </w:r>
          </w:p>
        </w:tc>
      </w:tr>
      <w:tr w:rsidR="00DC117F" w14:paraId="17B64ED3" w14:textId="77777777">
        <w:tc>
          <w:tcPr>
            <w:tcW w:w="9648" w:type="dxa"/>
            <w:gridSpan w:val="5"/>
          </w:tcPr>
          <w:p w14:paraId="5BEFC06F" w14:textId="77777777" w:rsidR="00DC117F" w:rsidRPr="00246A52" w:rsidRDefault="00DC117F">
            <w:pPr>
              <w:rPr>
                <w:rFonts w:ascii="Arial" w:hAnsi="Arial" w:cs="Arial"/>
                <w:b/>
                <w:u w:val="single"/>
              </w:rPr>
            </w:pPr>
          </w:p>
        </w:tc>
      </w:tr>
      <w:tr w:rsidR="00DC117F" w14:paraId="7627CA9F" w14:textId="77777777">
        <w:tc>
          <w:tcPr>
            <w:tcW w:w="9648" w:type="dxa"/>
            <w:gridSpan w:val="5"/>
          </w:tcPr>
          <w:p w14:paraId="47FAA8BA" w14:textId="77777777" w:rsidR="00DC117F" w:rsidRPr="00246A52" w:rsidRDefault="00DC117F" w:rsidP="00DC117F">
            <w:pPr>
              <w:rPr>
                <w:rFonts w:ascii="Arial" w:hAnsi="Arial" w:cs="Arial"/>
                <w:b/>
                <w:u w:val="single"/>
              </w:rPr>
            </w:pPr>
            <w:r w:rsidRPr="00246A52">
              <w:rPr>
                <w:rFonts w:ascii="Arial" w:hAnsi="Arial" w:cs="Arial"/>
                <w:b/>
                <w:u w:val="single"/>
              </w:rPr>
              <w:t>BACKGROUND:</w:t>
            </w:r>
          </w:p>
        </w:tc>
      </w:tr>
      <w:tr w:rsidR="00DC117F" w14:paraId="574CB625" w14:textId="77777777">
        <w:tc>
          <w:tcPr>
            <w:tcW w:w="9648" w:type="dxa"/>
            <w:gridSpan w:val="5"/>
          </w:tcPr>
          <w:p w14:paraId="6F953AE8" w14:textId="77777777" w:rsidR="00AB4326" w:rsidRDefault="00334091" w:rsidP="00DC117F">
            <w:pPr>
              <w:rPr>
                <w:rFonts w:ascii="Arial" w:hAnsi="Arial" w:cs="Arial"/>
              </w:rPr>
            </w:pPr>
            <w:r>
              <w:rPr>
                <w:rFonts w:ascii="Arial" w:hAnsi="Arial" w:cs="Arial"/>
              </w:rPr>
              <w:t xml:space="preserve">The Board of Supervisors has directed staff </w:t>
            </w:r>
            <w:r w:rsidR="008F03AF">
              <w:rPr>
                <w:rFonts w:ascii="Arial" w:hAnsi="Arial" w:cs="Arial"/>
              </w:rPr>
              <w:t>to analyze the legality and feasibility of</w:t>
            </w:r>
            <w:r w:rsidR="00DC117F" w:rsidRPr="00246A52">
              <w:rPr>
                <w:rFonts w:ascii="Arial" w:hAnsi="Arial" w:cs="Arial"/>
              </w:rPr>
              <w:t xml:space="preserve"> </w:t>
            </w:r>
            <w:r w:rsidR="008F03AF">
              <w:rPr>
                <w:rFonts w:ascii="Arial" w:hAnsi="Arial" w:cs="Arial"/>
              </w:rPr>
              <w:t>adopting fees to address the impact of commercial and market rate housing development on the need for affordable housing in the unincorporated area of the County.</w:t>
            </w:r>
            <w:r w:rsidR="00AB4326">
              <w:rPr>
                <w:rFonts w:ascii="Arial" w:hAnsi="Arial" w:cs="Arial"/>
              </w:rPr>
              <w:t xml:space="preserve">  </w:t>
            </w:r>
          </w:p>
          <w:p w14:paraId="4B01CDF1" w14:textId="77777777" w:rsidR="00AB4326" w:rsidRDefault="00AB4326" w:rsidP="00DC117F">
            <w:pPr>
              <w:rPr>
                <w:rFonts w:ascii="Arial" w:hAnsi="Arial" w:cs="Arial"/>
              </w:rPr>
            </w:pPr>
          </w:p>
          <w:p w14:paraId="1F46738A" w14:textId="13E1DBC0" w:rsidR="00DC117F" w:rsidRDefault="00AB4326" w:rsidP="00DC117F">
            <w:pPr>
              <w:rPr>
                <w:rFonts w:ascii="Arial" w:hAnsi="Arial" w:cs="Arial"/>
              </w:rPr>
            </w:pPr>
            <w:r>
              <w:rPr>
                <w:rFonts w:ascii="Arial" w:hAnsi="Arial" w:cs="Arial"/>
              </w:rPr>
              <w:t xml:space="preserve">County staff members from the County Manager’s Office, Planning and Building, Housing, and the County Counsel’s Office, in conjunction with consultants </w:t>
            </w:r>
            <w:r w:rsidR="00241DB6">
              <w:rPr>
                <w:rFonts w:ascii="Arial" w:hAnsi="Arial" w:cs="Arial"/>
              </w:rPr>
              <w:t xml:space="preserve">from </w:t>
            </w:r>
            <w:r>
              <w:rPr>
                <w:rFonts w:ascii="Arial" w:hAnsi="Arial" w:cs="Arial"/>
              </w:rPr>
              <w:t>21 Elements, ha</w:t>
            </w:r>
            <w:r w:rsidR="00241DB6">
              <w:rPr>
                <w:rFonts w:ascii="Arial" w:hAnsi="Arial" w:cs="Arial"/>
              </w:rPr>
              <w:t>ve</w:t>
            </w:r>
            <w:r>
              <w:rPr>
                <w:rFonts w:ascii="Arial" w:hAnsi="Arial" w:cs="Arial"/>
              </w:rPr>
              <w:t xml:space="preserve"> received and reviewed a number of documents, including a </w:t>
            </w:r>
            <w:r>
              <w:rPr>
                <w:rFonts w:ascii="Arial" w:hAnsi="Arial" w:cs="Arial"/>
                <w:i/>
              </w:rPr>
              <w:t>Residential Impact Fee Nexus Study</w:t>
            </w:r>
            <w:r>
              <w:rPr>
                <w:rFonts w:ascii="Arial" w:hAnsi="Arial" w:cs="Arial"/>
              </w:rPr>
              <w:t xml:space="preserve"> and a </w:t>
            </w:r>
            <w:r>
              <w:rPr>
                <w:rFonts w:ascii="Arial" w:hAnsi="Arial" w:cs="Arial"/>
                <w:i/>
              </w:rPr>
              <w:t>Commercial Linkage Fee Nexus Study</w:t>
            </w:r>
            <w:r>
              <w:rPr>
                <w:rFonts w:ascii="Arial" w:hAnsi="Arial" w:cs="Arial"/>
              </w:rPr>
              <w:t xml:space="preserve">.  </w:t>
            </w:r>
            <w:r w:rsidR="00500918">
              <w:rPr>
                <w:rFonts w:ascii="Arial" w:hAnsi="Arial" w:cs="Arial"/>
              </w:rPr>
              <w:t xml:space="preserve">(Copies of these nexus studies are available at </w:t>
            </w:r>
            <w:hyperlink r:id="rId10" w:history="1">
              <w:r w:rsidR="00500918" w:rsidRPr="00E3337E">
                <w:rPr>
                  <w:rStyle w:val="Hyperlink"/>
                  <w:rFonts w:ascii="Arial" w:hAnsi="Arial" w:cs="Arial"/>
                </w:rPr>
                <w:t>https://planning.smcgov.org/nexus-study</w:t>
              </w:r>
            </w:hyperlink>
            <w:r w:rsidR="00500918">
              <w:rPr>
                <w:rFonts w:ascii="Arial" w:hAnsi="Arial" w:cs="Arial"/>
              </w:rPr>
              <w:t xml:space="preserve">.)  </w:t>
            </w:r>
            <w:r>
              <w:rPr>
                <w:rFonts w:ascii="Arial" w:hAnsi="Arial" w:cs="Arial"/>
              </w:rPr>
              <w:t xml:space="preserve">Staff has also analyzed legal and operational issues related to the adoption and implementation of affordable housing impact fee ordinances.  </w:t>
            </w:r>
          </w:p>
          <w:p w14:paraId="6CCB3891" w14:textId="77777777" w:rsidR="00AB4326" w:rsidRDefault="00AB4326" w:rsidP="00DC117F">
            <w:pPr>
              <w:rPr>
                <w:rFonts w:ascii="Arial" w:hAnsi="Arial" w:cs="Arial"/>
              </w:rPr>
            </w:pPr>
          </w:p>
          <w:p w14:paraId="4B45FECC" w14:textId="738DE950" w:rsidR="008F03AF" w:rsidRPr="00246A52" w:rsidRDefault="00AB4326" w:rsidP="0046346A">
            <w:pPr>
              <w:rPr>
                <w:rFonts w:ascii="Arial" w:hAnsi="Arial" w:cs="Arial"/>
              </w:rPr>
            </w:pPr>
            <w:r>
              <w:rPr>
                <w:rFonts w:ascii="Arial" w:hAnsi="Arial" w:cs="Arial"/>
              </w:rPr>
              <w:t>Based on this work, staff conclude</w:t>
            </w:r>
            <w:r w:rsidR="00973259">
              <w:rPr>
                <w:rFonts w:ascii="Arial" w:hAnsi="Arial" w:cs="Arial"/>
              </w:rPr>
              <w:t>s</w:t>
            </w:r>
            <w:r>
              <w:rPr>
                <w:rFonts w:ascii="Arial" w:hAnsi="Arial" w:cs="Arial"/>
              </w:rPr>
              <w:t xml:space="preserve"> t</w:t>
            </w:r>
            <w:r w:rsidR="00334091">
              <w:rPr>
                <w:rFonts w:ascii="Arial" w:hAnsi="Arial" w:cs="Arial"/>
              </w:rPr>
              <w:t>hat adoption of such impact fee ordinances</w:t>
            </w:r>
            <w:r>
              <w:rPr>
                <w:rFonts w:ascii="Arial" w:hAnsi="Arial" w:cs="Arial"/>
              </w:rPr>
              <w:t xml:space="preserve"> would be legal and feasible.  However, staff has also determined that there are </w:t>
            </w:r>
            <w:r w:rsidR="00D96C9E">
              <w:rPr>
                <w:rFonts w:ascii="Arial" w:hAnsi="Arial" w:cs="Arial"/>
              </w:rPr>
              <w:t xml:space="preserve">some </w:t>
            </w:r>
            <w:r w:rsidR="00334091">
              <w:rPr>
                <w:rFonts w:ascii="Arial" w:hAnsi="Arial" w:cs="Arial"/>
              </w:rPr>
              <w:t xml:space="preserve">issues and questions related to the development of </w:t>
            </w:r>
            <w:r w:rsidR="00D96C9E">
              <w:rPr>
                <w:rFonts w:ascii="Arial" w:hAnsi="Arial" w:cs="Arial"/>
              </w:rPr>
              <w:t>affordable housing impact fee</w:t>
            </w:r>
            <w:r w:rsidR="00334091">
              <w:rPr>
                <w:rFonts w:ascii="Arial" w:hAnsi="Arial" w:cs="Arial"/>
              </w:rPr>
              <w:t xml:space="preserve"> ordinances that would be helpful to </w:t>
            </w:r>
            <w:r w:rsidR="00D96C9E">
              <w:rPr>
                <w:rFonts w:ascii="Arial" w:hAnsi="Arial" w:cs="Arial"/>
              </w:rPr>
              <w:t xml:space="preserve">discuss </w:t>
            </w:r>
            <w:r w:rsidR="00334091">
              <w:rPr>
                <w:rFonts w:ascii="Arial" w:hAnsi="Arial" w:cs="Arial"/>
              </w:rPr>
              <w:t xml:space="preserve">with the Board prior to bringing such ordinances for </w:t>
            </w:r>
            <w:r w:rsidR="00D96C9E">
              <w:rPr>
                <w:rFonts w:ascii="Arial" w:hAnsi="Arial" w:cs="Arial"/>
              </w:rPr>
              <w:t xml:space="preserve">final </w:t>
            </w:r>
            <w:r w:rsidR="00334091">
              <w:rPr>
                <w:rFonts w:ascii="Arial" w:hAnsi="Arial" w:cs="Arial"/>
              </w:rPr>
              <w:t>consideration</w:t>
            </w:r>
            <w:r w:rsidR="00D96C9E">
              <w:rPr>
                <w:rFonts w:ascii="Arial" w:hAnsi="Arial" w:cs="Arial"/>
              </w:rPr>
              <w:t xml:space="preserve"> and adoption</w:t>
            </w:r>
            <w:r w:rsidR="00334091">
              <w:rPr>
                <w:rFonts w:ascii="Arial" w:hAnsi="Arial" w:cs="Arial"/>
              </w:rPr>
              <w:t xml:space="preserve">.  Therefore, staff has scheduled this study session to receive Board and community input as a component of the ordinance development process.  </w:t>
            </w:r>
          </w:p>
        </w:tc>
      </w:tr>
      <w:tr w:rsidR="00DC117F" w14:paraId="2320D58C" w14:textId="77777777">
        <w:tc>
          <w:tcPr>
            <w:tcW w:w="9648" w:type="dxa"/>
            <w:gridSpan w:val="5"/>
          </w:tcPr>
          <w:p w14:paraId="34F481B5" w14:textId="77777777" w:rsidR="00DC117F" w:rsidRPr="00246A52" w:rsidRDefault="00DC117F" w:rsidP="00DC117F">
            <w:pPr>
              <w:rPr>
                <w:rFonts w:ascii="Arial" w:hAnsi="Arial" w:cs="Arial"/>
                <w:b/>
                <w:u w:val="single"/>
              </w:rPr>
            </w:pPr>
          </w:p>
        </w:tc>
      </w:tr>
      <w:tr w:rsidR="00DC117F" w14:paraId="349977C0" w14:textId="77777777">
        <w:tc>
          <w:tcPr>
            <w:tcW w:w="9648" w:type="dxa"/>
            <w:gridSpan w:val="5"/>
          </w:tcPr>
          <w:p w14:paraId="3DAD18B4" w14:textId="77777777" w:rsidR="00DC117F" w:rsidRPr="00246A52" w:rsidRDefault="00DC117F" w:rsidP="00DC117F">
            <w:pPr>
              <w:rPr>
                <w:rFonts w:ascii="Arial" w:hAnsi="Arial" w:cs="Arial"/>
                <w:b/>
                <w:u w:val="single"/>
              </w:rPr>
            </w:pPr>
            <w:r w:rsidRPr="00246A52">
              <w:rPr>
                <w:rFonts w:ascii="Arial" w:hAnsi="Arial" w:cs="Arial"/>
                <w:b/>
                <w:u w:val="single"/>
              </w:rPr>
              <w:t>DISCUSSION:</w:t>
            </w:r>
          </w:p>
        </w:tc>
      </w:tr>
      <w:tr w:rsidR="00DC117F" w14:paraId="0DE08E2A" w14:textId="77777777">
        <w:tc>
          <w:tcPr>
            <w:tcW w:w="9648" w:type="dxa"/>
            <w:gridSpan w:val="5"/>
          </w:tcPr>
          <w:p w14:paraId="7E93C9BA" w14:textId="77777777" w:rsidR="00D96C9E" w:rsidRDefault="00973259" w:rsidP="00DC117F">
            <w:pPr>
              <w:rPr>
                <w:rFonts w:ascii="Arial" w:hAnsi="Arial" w:cs="Arial"/>
              </w:rPr>
            </w:pPr>
            <w:r>
              <w:rPr>
                <w:rFonts w:ascii="Arial" w:hAnsi="Arial" w:cs="Arial"/>
              </w:rPr>
              <w:t xml:space="preserve">Affordable housing impact fees are intended to help pay for building homes for lower income residents who require housing as a result of commercial or market rate housing </w:t>
            </w:r>
            <w:r>
              <w:rPr>
                <w:rFonts w:ascii="Arial" w:hAnsi="Arial" w:cs="Arial"/>
              </w:rPr>
              <w:lastRenderedPageBreak/>
              <w:t xml:space="preserve">development. </w:t>
            </w:r>
            <w:r w:rsidR="000C1D6E">
              <w:rPr>
                <w:rFonts w:ascii="Arial" w:hAnsi="Arial" w:cs="Arial"/>
              </w:rPr>
              <w:t xml:space="preserve">  Such fees may only be charged where a nexus is established between new residential or commercial development and additional demand for affordable housing.  </w:t>
            </w:r>
          </w:p>
          <w:p w14:paraId="06AEE1A1" w14:textId="77777777" w:rsidR="00D96C9E" w:rsidRDefault="00D96C9E" w:rsidP="00DC117F">
            <w:pPr>
              <w:rPr>
                <w:rFonts w:ascii="Arial" w:hAnsi="Arial" w:cs="Arial"/>
              </w:rPr>
            </w:pPr>
          </w:p>
          <w:p w14:paraId="7E12971B" w14:textId="77777777" w:rsidR="00DC117F" w:rsidRDefault="00973259" w:rsidP="00DC117F">
            <w:pPr>
              <w:rPr>
                <w:rFonts w:ascii="Arial" w:hAnsi="Arial" w:cs="Arial"/>
              </w:rPr>
            </w:pPr>
            <w:r>
              <w:rPr>
                <w:rFonts w:ascii="Arial" w:hAnsi="Arial" w:cs="Arial"/>
              </w:rPr>
              <w:t xml:space="preserve">Some local </w:t>
            </w:r>
            <w:r w:rsidR="00D96C9E">
              <w:rPr>
                <w:rFonts w:ascii="Arial" w:hAnsi="Arial" w:cs="Arial"/>
              </w:rPr>
              <w:t xml:space="preserve">San Mateo County </w:t>
            </w:r>
            <w:r>
              <w:rPr>
                <w:rFonts w:ascii="Arial" w:hAnsi="Arial" w:cs="Arial"/>
              </w:rPr>
              <w:t xml:space="preserve">jurisdictions, including, for example, Redwood City, San Carlos, Daly City, and Menlo Park, have </w:t>
            </w:r>
            <w:r w:rsidR="000C1D6E">
              <w:rPr>
                <w:rFonts w:ascii="Arial" w:hAnsi="Arial" w:cs="Arial"/>
              </w:rPr>
              <w:t xml:space="preserve">adopted affordable housing </w:t>
            </w:r>
            <w:r>
              <w:rPr>
                <w:rFonts w:ascii="Arial" w:hAnsi="Arial" w:cs="Arial"/>
              </w:rPr>
              <w:t xml:space="preserve">impact fee ordinances.  Further, a number of </w:t>
            </w:r>
            <w:r w:rsidR="00D96C9E">
              <w:rPr>
                <w:rFonts w:ascii="Arial" w:hAnsi="Arial" w:cs="Arial"/>
              </w:rPr>
              <w:t xml:space="preserve">other </w:t>
            </w:r>
            <w:r>
              <w:rPr>
                <w:rFonts w:ascii="Arial" w:hAnsi="Arial" w:cs="Arial"/>
              </w:rPr>
              <w:t xml:space="preserve">San Mateo County jurisdictions recently collaborated to study potential affordable housing impact fees through the 21 Elements </w:t>
            </w:r>
            <w:r w:rsidR="00D96C9E">
              <w:rPr>
                <w:rFonts w:ascii="Arial" w:hAnsi="Arial" w:cs="Arial"/>
              </w:rPr>
              <w:t>planning project</w:t>
            </w:r>
            <w:r>
              <w:rPr>
                <w:rFonts w:ascii="Arial" w:hAnsi="Arial" w:cs="Arial"/>
              </w:rPr>
              <w:t xml:space="preserve">, </w:t>
            </w:r>
            <w:r w:rsidR="00D96C9E">
              <w:rPr>
                <w:rFonts w:ascii="Arial" w:hAnsi="Arial" w:cs="Arial"/>
              </w:rPr>
              <w:t xml:space="preserve">and </w:t>
            </w:r>
            <w:r>
              <w:rPr>
                <w:rFonts w:ascii="Arial" w:hAnsi="Arial" w:cs="Arial"/>
              </w:rPr>
              <w:t>as a result of this work, the County has received the two nexus studies mentioned above.</w:t>
            </w:r>
            <w:r w:rsidR="00241DB6">
              <w:rPr>
                <w:rFonts w:ascii="Arial" w:hAnsi="Arial" w:cs="Arial"/>
              </w:rPr>
              <w:t xml:space="preserve">  </w:t>
            </w:r>
          </w:p>
          <w:p w14:paraId="2A3BDACD" w14:textId="77777777" w:rsidR="000C1D6E" w:rsidRDefault="000C1D6E" w:rsidP="00DC117F">
            <w:pPr>
              <w:rPr>
                <w:rFonts w:ascii="Arial" w:hAnsi="Arial" w:cs="Arial"/>
              </w:rPr>
            </w:pPr>
          </w:p>
          <w:p w14:paraId="5545A4D7" w14:textId="12AD141A" w:rsidR="004060DF" w:rsidRDefault="00E30E40" w:rsidP="00DC117F">
            <w:pPr>
              <w:rPr>
                <w:rFonts w:ascii="Arial" w:hAnsi="Arial" w:cs="Arial"/>
              </w:rPr>
            </w:pPr>
            <w:r>
              <w:rPr>
                <w:rFonts w:ascii="Arial" w:hAnsi="Arial" w:cs="Arial"/>
              </w:rPr>
              <w:t xml:space="preserve">During the first portion of the </w:t>
            </w:r>
            <w:r w:rsidR="00D96C9E">
              <w:rPr>
                <w:rFonts w:ascii="Arial" w:hAnsi="Arial" w:cs="Arial"/>
              </w:rPr>
              <w:t>study session</w:t>
            </w:r>
            <w:r>
              <w:rPr>
                <w:rFonts w:ascii="Arial" w:hAnsi="Arial" w:cs="Arial"/>
              </w:rPr>
              <w:t xml:space="preserve">, staff will </w:t>
            </w:r>
            <w:r w:rsidR="00D96C9E">
              <w:rPr>
                <w:rFonts w:ascii="Arial" w:hAnsi="Arial" w:cs="Arial"/>
              </w:rPr>
              <w:t>explain the legal framework governing impact fees, including under the California Mitigation Fee Act.  Among t</w:t>
            </w:r>
            <w:r w:rsidR="004060DF">
              <w:rPr>
                <w:rFonts w:ascii="Arial" w:hAnsi="Arial" w:cs="Arial"/>
              </w:rPr>
              <w:t>he matters discussed by staff will be</w:t>
            </w:r>
            <w:r w:rsidR="00D96C9E">
              <w:rPr>
                <w:rFonts w:ascii="Arial" w:hAnsi="Arial" w:cs="Arial"/>
              </w:rPr>
              <w:t xml:space="preserve"> the need to establish a </w:t>
            </w:r>
            <w:r w:rsidR="004060DF">
              <w:rPr>
                <w:rFonts w:ascii="Arial" w:hAnsi="Arial" w:cs="Arial"/>
              </w:rPr>
              <w:t xml:space="preserve">reasonable </w:t>
            </w:r>
            <w:r w:rsidR="00D96C9E">
              <w:rPr>
                <w:rFonts w:ascii="Arial" w:hAnsi="Arial" w:cs="Arial"/>
              </w:rPr>
              <w:t>relationship between the impact</w:t>
            </w:r>
            <w:r w:rsidR="00241DB6">
              <w:rPr>
                <w:rFonts w:ascii="Arial" w:hAnsi="Arial" w:cs="Arial"/>
              </w:rPr>
              <w:t>s</w:t>
            </w:r>
            <w:r w:rsidR="00D96C9E">
              <w:rPr>
                <w:rFonts w:ascii="Arial" w:hAnsi="Arial" w:cs="Arial"/>
              </w:rPr>
              <w:t xml:space="preserve"> created by development and to cost of </w:t>
            </w:r>
            <w:r w:rsidR="004060DF">
              <w:rPr>
                <w:rFonts w:ascii="Arial" w:hAnsi="Arial" w:cs="Arial"/>
              </w:rPr>
              <w:t>providing the services to address these identified impacts and the role that nexus studies play in establishing such a relationship.</w:t>
            </w:r>
          </w:p>
          <w:p w14:paraId="6BD1B90D" w14:textId="77777777" w:rsidR="004060DF" w:rsidRDefault="004060DF" w:rsidP="00DC117F">
            <w:pPr>
              <w:rPr>
                <w:rFonts w:ascii="Arial" w:hAnsi="Arial" w:cs="Arial"/>
              </w:rPr>
            </w:pPr>
          </w:p>
          <w:p w14:paraId="67B5059B" w14:textId="77777777" w:rsidR="000C1D6E" w:rsidRDefault="004060DF" w:rsidP="00DC117F">
            <w:pPr>
              <w:rPr>
                <w:rFonts w:ascii="Arial" w:hAnsi="Arial" w:cs="Arial"/>
              </w:rPr>
            </w:pPr>
            <w:r>
              <w:rPr>
                <w:rFonts w:ascii="Arial" w:hAnsi="Arial" w:cs="Arial"/>
              </w:rPr>
              <w:t xml:space="preserve">We then anticipate that Josh Abrams, a consultant working with 21 Elements, will provide the Board with a review of the affordable housing nexus studies for commercial and market rate housing that have been developed for San Mateo County.  This presentation will include an explanation of the process and methodologies used in the </w:t>
            </w:r>
            <w:r w:rsidR="00241DB6">
              <w:rPr>
                <w:rFonts w:ascii="Arial" w:hAnsi="Arial" w:cs="Arial"/>
              </w:rPr>
              <w:t>nexus studies</w:t>
            </w:r>
            <w:r>
              <w:rPr>
                <w:rFonts w:ascii="Arial" w:hAnsi="Arial" w:cs="Arial"/>
              </w:rPr>
              <w:t xml:space="preserve"> and a discussion of the studies’ conclusions with respect to defensible and feasible affordable housing impact fees.  </w:t>
            </w:r>
          </w:p>
          <w:p w14:paraId="26A4FC14" w14:textId="77777777" w:rsidR="004060DF" w:rsidRDefault="004060DF" w:rsidP="00DC117F">
            <w:pPr>
              <w:rPr>
                <w:rFonts w:ascii="Arial" w:hAnsi="Arial" w:cs="Arial"/>
              </w:rPr>
            </w:pPr>
          </w:p>
          <w:p w14:paraId="22674CE8" w14:textId="709BA80B" w:rsidR="00E05040" w:rsidRDefault="004060DF" w:rsidP="00DC117F">
            <w:pPr>
              <w:rPr>
                <w:rFonts w:ascii="Arial" w:hAnsi="Arial" w:cs="Arial"/>
              </w:rPr>
            </w:pPr>
            <w:r>
              <w:rPr>
                <w:rFonts w:ascii="Arial" w:hAnsi="Arial" w:cs="Arial"/>
              </w:rPr>
              <w:t xml:space="preserve">Thereafter, staff will provide the Board with information about the general structure of impact fee ordinances </w:t>
            </w:r>
            <w:r w:rsidR="00E05040">
              <w:rPr>
                <w:rFonts w:ascii="Arial" w:hAnsi="Arial" w:cs="Arial"/>
              </w:rPr>
              <w:t xml:space="preserve">and </w:t>
            </w:r>
            <w:r>
              <w:rPr>
                <w:rFonts w:ascii="Arial" w:hAnsi="Arial" w:cs="Arial"/>
              </w:rPr>
              <w:t xml:space="preserve">present the Board with a </w:t>
            </w:r>
            <w:r w:rsidR="0046346A">
              <w:rPr>
                <w:rFonts w:ascii="Arial" w:hAnsi="Arial" w:cs="Arial"/>
              </w:rPr>
              <w:t xml:space="preserve">number of </w:t>
            </w:r>
            <w:r>
              <w:rPr>
                <w:rFonts w:ascii="Arial" w:hAnsi="Arial" w:cs="Arial"/>
              </w:rPr>
              <w:t>decision points</w:t>
            </w:r>
            <w:r w:rsidR="0046346A">
              <w:rPr>
                <w:rFonts w:ascii="Arial" w:hAnsi="Arial" w:cs="Arial"/>
              </w:rPr>
              <w:t xml:space="preserve"> related to the ordinances</w:t>
            </w:r>
            <w:r w:rsidR="00E05040">
              <w:rPr>
                <w:rFonts w:ascii="Arial" w:hAnsi="Arial" w:cs="Arial"/>
              </w:rPr>
              <w:t>.  Among the matters that staff will present are the following:</w:t>
            </w:r>
          </w:p>
          <w:p w14:paraId="6FFE1840" w14:textId="77777777" w:rsidR="00E05040" w:rsidRDefault="00E05040" w:rsidP="00DC117F">
            <w:pPr>
              <w:rPr>
                <w:rFonts w:ascii="Arial" w:hAnsi="Arial" w:cs="Arial"/>
              </w:rPr>
            </w:pPr>
          </w:p>
          <w:p w14:paraId="01F54365" w14:textId="77777777" w:rsidR="00E05040" w:rsidRDefault="00E05040" w:rsidP="00E05040">
            <w:pPr>
              <w:numPr>
                <w:ilvl w:val="0"/>
                <w:numId w:val="1"/>
              </w:numPr>
              <w:rPr>
                <w:rFonts w:ascii="Arial" w:hAnsi="Arial" w:cs="Arial"/>
              </w:rPr>
            </w:pPr>
            <w:r>
              <w:rPr>
                <w:rFonts w:ascii="Arial" w:hAnsi="Arial" w:cs="Arial"/>
              </w:rPr>
              <w:t>How would</w:t>
            </w:r>
            <w:r w:rsidR="00DC51CF">
              <w:rPr>
                <w:rFonts w:ascii="Arial" w:hAnsi="Arial" w:cs="Arial"/>
              </w:rPr>
              <w:t xml:space="preserve"> an impact</w:t>
            </w:r>
            <w:r>
              <w:rPr>
                <w:rFonts w:ascii="Arial" w:hAnsi="Arial" w:cs="Arial"/>
              </w:rPr>
              <w:t xml:space="preserve"> fee interface with the County’s Inclusionary Housing Ordinance?</w:t>
            </w:r>
          </w:p>
          <w:p w14:paraId="39271BC9" w14:textId="77777777" w:rsidR="00E05040" w:rsidRDefault="00DC51CF" w:rsidP="00E05040">
            <w:pPr>
              <w:numPr>
                <w:ilvl w:val="0"/>
                <w:numId w:val="1"/>
              </w:numPr>
              <w:rPr>
                <w:rFonts w:ascii="Arial" w:hAnsi="Arial" w:cs="Arial"/>
              </w:rPr>
            </w:pPr>
            <w:r>
              <w:rPr>
                <w:rFonts w:ascii="Arial" w:hAnsi="Arial" w:cs="Arial"/>
              </w:rPr>
              <w:t>Would an impact fee on market rate housing apply to ownership units? Rental units? Both?</w:t>
            </w:r>
          </w:p>
          <w:p w14:paraId="2C61BA4D" w14:textId="1A02E8E9" w:rsidR="00DC51CF" w:rsidRDefault="00DC51CF" w:rsidP="00E05040">
            <w:pPr>
              <w:numPr>
                <w:ilvl w:val="0"/>
                <w:numId w:val="1"/>
              </w:numPr>
              <w:rPr>
                <w:rFonts w:ascii="Arial" w:hAnsi="Arial" w:cs="Arial"/>
              </w:rPr>
            </w:pPr>
            <w:r>
              <w:rPr>
                <w:rFonts w:ascii="Arial" w:hAnsi="Arial" w:cs="Arial"/>
              </w:rPr>
              <w:t>Would any types of market rate housing development be exempt from an impact fee?</w:t>
            </w:r>
          </w:p>
          <w:p w14:paraId="3C34E301" w14:textId="77777777" w:rsidR="00DC51CF" w:rsidRDefault="00DC51CF" w:rsidP="00E05040">
            <w:pPr>
              <w:numPr>
                <w:ilvl w:val="0"/>
                <w:numId w:val="1"/>
              </w:numPr>
              <w:rPr>
                <w:rFonts w:ascii="Arial" w:hAnsi="Arial" w:cs="Arial"/>
              </w:rPr>
            </w:pPr>
            <w:r>
              <w:rPr>
                <w:rFonts w:ascii="Arial" w:hAnsi="Arial" w:cs="Arial"/>
              </w:rPr>
              <w:t>Would an impact fee on market rate housing vary based on size of unit or other factor, such as neighborhood, number of units in a proposed development, etc.?</w:t>
            </w:r>
          </w:p>
          <w:p w14:paraId="53F57EB2" w14:textId="18C860CA" w:rsidR="00DC51CF" w:rsidRDefault="00DC51CF" w:rsidP="00E05040">
            <w:pPr>
              <w:numPr>
                <w:ilvl w:val="0"/>
                <w:numId w:val="1"/>
              </w:numPr>
              <w:rPr>
                <w:rFonts w:ascii="Arial" w:hAnsi="Arial" w:cs="Arial"/>
              </w:rPr>
            </w:pPr>
            <w:r>
              <w:rPr>
                <w:rFonts w:ascii="Arial" w:hAnsi="Arial" w:cs="Arial"/>
              </w:rPr>
              <w:t>For commerci</w:t>
            </w:r>
            <w:r w:rsidR="0046346A">
              <w:rPr>
                <w:rFonts w:ascii="Arial" w:hAnsi="Arial" w:cs="Arial"/>
              </w:rPr>
              <w:t>al development, what</w:t>
            </w:r>
            <w:r>
              <w:rPr>
                <w:rFonts w:ascii="Arial" w:hAnsi="Arial" w:cs="Arial"/>
              </w:rPr>
              <w:t xml:space="preserve"> types of development would be subject to an </w:t>
            </w:r>
            <w:r w:rsidR="00CE110C">
              <w:rPr>
                <w:rFonts w:ascii="Arial" w:hAnsi="Arial" w:cs="Arial"/>
              </w:rPr>
              <w:t>impact fee (e.g., office, retail, hotel, warehouse and industrial, etc.)?</w:t>
            </w:r>
          </w:p>
          <w:p w14:paraId="0C0A4AA2" w14:textId="77777777" w:rsidR="00CE110C" w:rsidRDefault="00CE110C" w:rsidP="00E05040">
            <w:pPr>
              <w:numPr>
                <w:ilvl w:val="0"/>
                <w:numId w:val="1"/>
              </w:numPr>
              <w:rPr>
                <w:rFonts w:ascii="Arial" w:hAnsi="Arial" w:cs="Arial"/>
              </w:rPr>
            </w:pPr>
            <w:r>
              <w:rPr>
                <w:rFonts w:ascii="Arial" w:hAnsi="Arial" w:cs="Arial"/>
              </w:rPr>
              <w:t>Would any commercial development be exempt from the impact fee (e.g., small developments)?</w:t>
            </w:r>
          </w:p>
          <w:p w14:paraId="01DDE5C6" w14:textId="77777777" w:rsidR="00CE110C" w:rsidRDefault="0031081F" w:rsidP="00E05040">
            <w:pPr>
              <w:numPr>
                <w:ilvl w:val="0"/>
                <w:numId w:val="1"/>
              </w:numPr>
              <w:rPr>
                <w:rFonts w:ascii="Arial" w:hAnsi="Arial" w:cs="Arial"/>
              </w:rPr>
            </w:pPr>
            <w:r>
              <w:rPr>
                <w:rFonts w:ascii="Arial" w:hAnsi="Arial" w:cs="Arial"/>
              </w:rPr>
              <w:t>Would impact fees on commercial development be the same in all areas of the County?</w:t>
            </w:r>
          </w:p>
          <w:p w14:paraId="38C483E5" w14:textId="7CADE9DD" w:rsidR="0031081F" w:rsidRDefault="0031081F" w:rsidP="00E05040">
            <w:pPr>
              <w:numPr>
                <w:ilvl w:val="0"/>
                <w:numId w:val="1"/>
              </w:numPr>
              <w:rPr>
                <w:rFonts w:ascii="Arial" w:hAnsi="Arial" w:cs="Arial"/>
              </w:rPr>
            </w:pPr>
            <w:r>
              <w:rPr>
                <w:rFonts w:ascii="Arial" w:hAnsi="Arial" w:cs="Arial"/>
              </w:rPr>
              <w:t xml:space="preserve">At what level should the impact fees be set in light of </w:t>
            </w:r>
            <w:r w:rsidR="0046346A">
              <w:rPr>
                <w:rFonts w:ascii="Arial" w:hAnsi="Arial" w:cs="Arial"/>
              </w:rPr>
              <w:t xml:space="preserve">other </w:t>
            </w:r>
            <w:r>
              <w:rPr>
                <w:rFonts w:ascii="Arial" w:hAnsi="Arial" w:cs="Arial"/>
              </w:rPr>
              <w:t>existing development fees?</w:t>
            </w:r>
          </w:p>
          <w:p w14:paraId="6604AD0D" w14:textId="77777777" w:rsidR="0031081F" w:rsidRDefault="0031081F" w:rsidP="00E05040">
            <w:pPr>
              <w:numPr>
                <w:ilvl w:val="0"/>
                <w:numId w:val="1"/>
              </w:numPr>
              <w:rPr>
                <w:rFonts w:ascii="Arial" w:hAnsi="Arial" w:cs="Arial"/>
              </w:rPr>
            </w:pPr>
            <w:r>
              <w:rPr>
                <w:rFonts w:ascii="Arial" w:hAnsi="Arial" w:cs="Arial"/>
              </w:rPr>
              <w:t xml:space="preserve">Should the fees be adjusted periodically and, if so, what methodology should be </w:t>
            </w:r>
            <w:r>
              <w:rPr>
                <w:rFonts w:ascii="Arial" w:hAnsi="Arial" w:cs="Arial"/>
              </w:rPr>
              <w:lastRenderedPageBreak/>
              <w:t>used?</w:t>
            </w:r>
          </w:p>
          <w:p w14:paraId="5C6FB9CA" w14:textId="77777777" w:rsidR="00E05040" w:rsidRPr="0031081F" w:rsidRDefault="0031081F" w:rsidP="00D07BE2">
            <w:pPr>
              <w:numPr>
                <w:ilvl w:val="0"/>
                <w:numId w:val="1"/>
              </w:numPr>
              <w:rPr>
                <w:rFonts w:ascii="Arial" w:hAnsi="Arial" w:cs="Arial"/>
              </w:rPr>
            </w:pPr>
            <w:r w:rsidRPr="0031081F">
              <w:rPr>
                <w:rFonts w:ascii="Arial" w:hAnsi="Arial" w:cs="Arial"/>
              </w:rPr>
              <w:t>How will funds raised through impact fees be used (i.e., will the County establish a separate fund to hold and expend funds and/or direct funds to an agency addressing affordable housing on a regional/County-wide basis)?</w:t>
            </w:r>
          </w:p>
          <w:p w14:paraId="45377411" w14:textId="77777777" w:rsidR="00E05040" w:rsidRDefault="00E05040" w:rsidP="00DC117F">
            <w:pPr>
              <w:rPr>
                <w:rFonts w:ascii="Arial" w:hAnsi="Arial" w:cs="Arial"/>
              </w:rPr>
            </w:pPr>
          </w:p>
          <w:p w14:paraId="7B6C8969" w14:textId="77777777" w:rsidR="00973259" w:rsidRPr="00246A52" w:rsidRDefault="00E05040" w:rsidP="00241DB6">
            <w:pPr>
              <w:rPr>
                <w:rFonts w:ascii="Arial" w:hAnsi="Arial" w:cs="Arial"/>
              </w:rPr>
            </w:pPr>
            <w:r>
              <w:rPr>
                <w:rFonts w:ascii="Arial" w:hAnsi="Arial" w:cs="Arial"/>
              </w:rPr>
              <w:t xml:space="preserve">The Board may then wish to discuss these </w:t>
            </w:r>
            <w:r w:rsidR="0031081F">
              <w:rPr>
                <w:rFonts w:ascii="Arial" w:hAnsi="Arial" w:cs="Arial"/>
              </w:rPr>
              <w:t xml:space="preserve">and other </w:t>
            </w:r>
            <w:r>
              <w:rPr>
                <w:rFonts w:ascii="Arial" w:hAnsi="Arial" w:cs="Arial"/>
              </w:rPr>
              <w:t>matters</w:t>
            </w:r>
            <w:r w:rsidR="00241DB6">
              <w:rPr>
                <w:rFonts w:ascii="Arial" w:hAnsi="Arial" w:cs="Arial"/>
              </w:rPr>
              <w:t>, ask specific questions of staff,</w:t>
            </w:r>
            <w:r>
              <w:rPr>
                <w:rFonts w:ascii="Arial" w:hAnsi="Arial" w:cs="Arial"/>
              </w:rPr>
              <w:t xml:space="preserve"> and provide direction regarding whether to move forward with developing impact fee ordinance </w:t>
            </w:r>
            <w:r w:rsidR="0039434E">
              <w:rPr>
                <w:rFonts w:ascii="Arial" w:hAnsi="Arial" w:cs="Arial"/>
              </w:rPr>
              <w:t xml:space="preserve">and if so, what components to include in such ordinances.  </w:t>
            </w:r>
            <w:r w:rsidR="00241DB6">
              <w:rPr>
                <w:rFonts w:ascii="Arial" w:hAnsi="Arial" w:cs="Arial"/>
              </w:rPr>
              <w:t>If the Board directs staff to return with impact fee ordinances for possible adoption, we anticipate having such ordinances ready for introduction at the Board’s meeting of April 26, 2016.</w:t>
            </w:r>
          </w:p>
        </w:tc>
      </w:tr>
      <w:tr w:rsidR="00DC117F" w14:paraId="620E4BCC" w14:textId="77777777">
        <w:tc>
          <w:tcPr>
            <w:tcW w:w="9648" w:type="dxa"/>
            <w:gridSpan w:val="5"/>
          </w:tcPr>
          <w:p w14:paraId="7ABA8F09" w14:textId="77777777" w:rsidR="00DC117F" w:rsidRPr="00246A52" w:rsidRDefault="00DC117F" w:rsidP="00DC117F">
            <w:pPr>
              <w:rPr>
                <w:rFonts w:ascii="Arial" w:hAnsi="Arial" w:cs="Arial"/>
                <w:b/>
                <w:u w:val="single"/>
              </w:rPr>
            </w:pPr>
          </w:p>
        </w:tc>
      </w:tr>
      <w:tr w:rsidR="00DC117F" w14:paraId="6C56F39A" w14:textId="77777777">
        <w:tc>
          <w:tcPr>
            <w:tcW w:w="9648" w:type="dxa"/>
            <w:gridSpan w:val="5"/>
          </w:tcPr>
          <w:p w14:paraId="597EB0F1" w14:textId="77777777" w:rsidR="00DC117F" w:rsidRPr="00246A52" w:rsidRDefault="00DC117F">
            <w:pPr>
              <w:rPr>
                <w:rFonts w:ascii="Arial" w:hAnsi="Arial" w:cs="Arial"/>
                <w:bCs/>
              </w:rPr>
            </w:pPr>
          </w:p>
        </w:tc>
      </w:tr>
    </w:tbl>
    <w:p w14:paraId="6F87540B" w14:textId="47A3F40F" w:rsidR="00F67CBD" w:rsidRPr="00F67CBD" w:rsidRDefault="00E30E40" w:rsidP="00F67CBD">
      <w:pPr>
        <w:jc w:val="right"/>
        <w:rPr>
          <w:rFonts w:ascii="Arial" w:hAnsi="Arial" w:cs="Arial"/>
          <w:sz w:val="16"/>
          <w:szCs w:val="16"/>
        </w:rPr>
      </w:pPr>
      <w:r>
        <w:rPr>
          <w:rFonts w:ascii="Arial" w:hAnsi="Arial" w:cs="Arial"/>
          <w:sz w:val="16"/>
          <w:szCs w:val="16"/>
        </w:rPr>
        <w:t xml:space="preserve"> </w:t>
      </w:r>
      <w:r w:rsidR="00F67CBD">
        <w:rPr>
          <w:rFonts w:ascii="Arial" w:hAnsi="Arial" w:cs="Arial"/>
          <w:sz w:val="16"/>
          <w:szCs w:val="16"/>
        </w:rPr>
        <w:t>[</w:t>
      </w:r>
      <w:r w:rsidR="00F67CBD" w:rsidRPr="00F67CBD">
        <w:rPr>
          <w:rFonts w:ascii="Arial" w:hAnsi="Arial" w:cs="Arial"/>
          <w:sz w:val="16"/>
          <w:szCs w:val="16"/>
        </w:rPr>
        <w:t>CCO-</w:t>
      </w:r>
      <w:r w:rsidR="006C0098">
        <w:rPr>
          <w:rFonts w:ascii="Arial" w:hAnsi="Arial" w:cs="Arial"/>
          <w:sz w:val="16"/>
          <w:szCs w:val="16"/>
        </w:rPr>
        <w:t>114814</w:t>
      </w:r>
      <w:r w:rsidR="00F67CBD">
        <w:rPr>
          <w:rFonts w:ascii="Arial" w:hAnsi="Arial" w:cs="Arial"/>
          <w:sz w:val="16"/>
          <w:szCs w:val="16"/>
        </w:rPr>
        <w:t>]</w:t>
      </w:r>
    </w:p>
    <w:sectPr w:rsidR="00F67CBD" w:rsidRPr="00F67CBD" w:rsidSect="00DC117F">
      <w:footerReference w:type="default" r:id="rId11"/>
      <w:pgSz w:w="12240" w:h="15840"/>
      <w:pgMar w:top="135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82A7" w14:textId="77777777" w:rsidR="00E3437E" w:rsidRDefault="00E3437E" w:rsidP="00F67CBD">
      <w:r>
        <w:separator/>
      </w:r>
    </w:p>
  </w:endnote>
  <w:endnote w:type="continuationSeparator" w:id="0">
    <w:p w14:paraId="5FCA62C7" w14:textId="77777777" w:rsidR="00E3437E" w:rsidRDefault="00E3437E" w:rsidP="00F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thelas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E61B" w14:textId="77777777" w:rsidR="00F67CBD" w:rsidRPr="00F67CBD" w:rsidRDefault="00F67CBD">
    <w:pPr>
      <w:pStyle w:val="Footer"/>
      <w:jc w:val="center"/>
      <w:rPr>
        <w:rFonts w:ascii="Arial" w:hAnsi="Arial" w:cs="Arial"/>
      </w:rPr>
    </w:pPr>
    <w:r w:rsidRPr="00F67CBD">
      <w:rPr>
        <w:rFonts w:ascii="Arial" w:hAnsi="Arial" w:cs="Arial"/>
      </w:rPr>
      <w:fldChar w:fldCharType="begin"/>
    </w:r>
    <w:r w:rsidRPr="00F67CBD">
      <w:rPr>
        <w:rFonts w:ascii="Arial" w:hAnsi="Arial" w:cs="Arial"/>
      </w:rPr>
      <w:instrText xml:space="preserve"> PAGE   \* MERGEFORMAT </w:instrText>
    </w:r>
    <w:r w:rsidRPr="00F67CBD">
      <w:rPr>
        <w:rFonts w:ascii="Arial" w:hAnsi="Arial" w:cs="Arial"/>
      </w:rPr>
      <w:fldChar w:fldCharType="separate"/>
    </w:r>
    <w:r w:rsidR="001622AF">
      <w:rPr>
        <w:rFonts w:ascii="Arial" w:hAnsi="Arial" w:cs="Arial"/>
        <w:noProof/>
      </w:rPr>
      <w:t>1</w:t>
    </w:r>
    <w:r w:rsidRPr="00F67CBD">
      <w:rPr>
        <w:rFonts w:ascii="Arial" w:hAnsi="Arial" w:cs="Arial"/>
        <w:noProof/>
      </w:rPr>
      <w:fldChar w:fldCharType="end"/>
    </w:r>
  </w:p>
  <w:p w14:paraId="4A78615D" w14:textId="77777777" w:rsidR="00F67CBD" w:rsidRDefault="00F67C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7B4A6" w14:textId="77777777" w:rsidR="00E3437E" w:rsidRDefault="00E3437E" w:rsidP="00F67CBD">
      <w:r>
        <w:separator/>
      </w:r>
    </w:p>
  </w:footnote>
  <w:footnote w:type="continuationSeparator" w:id="0">
    <w:p w14:paraId="6A62BC54" w14:textId="77777777" w:rsidR="00E3437E" w:rsidRDefault="00E3437E" w:rsidP="00F67C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27BC"/>
    <w:multiLevelType w:val="hybridMultilevel"/>
    <w:tmpl w:val="132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52"/>
    <w:rsid w:val="000C1D6E"/>
    <w:rsid w:val="001622AF"/>
    <w:rsid w:val="00241DB6"/>
    <w:rsid w:val="00246A52"/>
    <w:rsid w:val="0031081F"/>
    <w:rsid w:val="00334091"/>
    <w:rsid w:val="0039434E"/>
    <w:rsid w:val="004060DF"/>
    <w:rsid w:val="0046346A"/>
    <w:rsid w:val="00500918"/>
    <w:rsid w:val="006A344A"/>
    <w:rsid w:val="006C0098"/>
    <w:rsid w:val="008F03AF"/>
    <w:rsid w:val="00924289"/>
    <w:rsid w:val="0097256E"/>
    <w:rsid w:val="00973259"/>
    <w:rsid w:val="00A47527"/>
    <w:rsid w:val="00AB4326"/>
    <w:rsid w:val="00C75966"/>
    <w:rsid w:val="00CE110C"/>
    <w:rsid w:val="00D12361"/>
    <w:rsid w:val="00D96C9E"/>
    <w:rsid w:val="00DC117F"/>
    <w:rsid w:val="00DC51CF"/>
    <w:rsid w:val="00E05040"/>
    <w:rsid w:val="00E30E40"/>
    <w:rsid w:val="00E3437E"/>
    <w:rsid w:val="00E71A84"/>
    <w:rsid w:val="00E74AB8"/>
    <w:rsid w:val="00F6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ru v:ext="edit" colors="#00004e,#000052,#339"/>
    </o:shapedefaults>
    <o:shapelayout v:ext="edit">
      <o:idmap v:ext="edit" data="1"/>
    </o:shapelayout>
  </w:shapeDefaults>
  <w:decimalSymbol w:val="."/>
  <w:listSeparator w:val=","/>
  <w14:docId w14:val="69A5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kern w:val="28"/>
      <w:sz w:val="28"/>
    </w:rPr>
  </w:style>
  <w:style w:type="paragraph" w:styleId="Heading2">
    <w:name w:val="heading 2"/>
    <w:basedOn w:val="Normal"/>
    <w:next w:val="Normal"/>
    <w:qFormat/>
    <w:pPr>
      <w:keepNext/>
      <w:widowControl w:val="0"/>
      <w:jc w:val="center"/>
      <w:outlineLvl w:val="1"/>
    </w:pPr>
    <w:rPr>
      <w:b/>
      <w:snapToGrid w:val="0"/>
    </w:rPr>
  </w:style>
  <w:style w:type="paragraph" w:styleId="Heading4">
    <w:name w:val="heading 4"/>
    <w:basedOn w:val="Normal"/>
    <w:next w:val="Normal"/>
    <w:qFormat/>
    <w:pPr>
      <w:keepNext/>
      <w:widowControl w:val="0"/>
      <w:tabs>
        <w:tab w:val="left" w:pos="2860"/>
      </w:tabs>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BD"/>
    <w:pPr>
      <w:tabs>
        <w:tab w:val="center" w:pos="4680"/>
        <w:tab w:val="right" w:pos="9360"/>
      </w:tabs>
    </w:pPr>
  </w:style>
  <w:style w:type="character" w:customStyle="1" w:styleId="HeaderChar">
    <w:name w:val="Header Char"/>
    <w:link w:val="Header"/>
    <w:uiPriority w:val="99"/>
    <w:rsid w:val="00F67CBD"/>
    <w:rPr>
      <w:sz w:val="24"/>
    </w:rPr>
  </w:style>
  <w:style w:type="paragraph" w:styleId="Footer">
    <w:name w:val="footer"/>
    <w:basedOn w:val="Normal"/>
    <w:link w:val="FooterChar"/>
    <w:uiPriority w:val="99"/>
    <w:unhideWhenUsed/>
    <w:rsid w:val="00F67CBD"/>
    <w:pPr>
      <w:tabs>
        <w:tab w:val="center" w:pos="4680"/>
        <w:tab w:val="right" w:pos="9360"/>
      </w:tabs>
    </w:pPr>
  </w:style>
  <w:style w:type="character" w:customStyle="1" w:styleId="FooterChar">
    <w:name w:val="Footer Char"/>
    <w:link w:val="Footer"/>
    <w:uiPriority w:val="99"/>
    <w:rsid w:val="00F67CBD"/>
    <w:rPr>
      <w:sz w:val="24"/>
    </w:rPr>
  </w:style>
  <w:style w:type="character" w:styleId="CommentReference">
    <w:name w:val="annotation reference"/>
    <w:basedOn w:val="DefaultParagraphFont"/>
    <w:uiPriority w:val="99"/>
    <w:semiHidden/>
    <w:unhideWhenUsed/>
    <w:rsid w:val="00E74AB8"/>
    <w:rPr>
      <w:sz w:val="16"/>
      <w:szCs w:val="16"/>
    </w:rPr>
  </w:style>
  <w:style w:type="paragraph" w:styleId="CommentText">
    <w:name w:val="annotation text"/>
    <w:basedOn w:val="Normal"/>
    <w:link w:val="CommentTextChar"/>
    <w:uiPriority w:val="99"/>
    <w:semiHidden/>
    <w:unhideWhenUsed/>
    <w:rsid w:val="00E74AB8"/>
    <w:rPr>
      <w:sz w:val="20"/>
    </w:rPr>
  </w:style>
  <w:style w:type="character" w:customStyle="1" w:styleId="CommentTextChar">
    <w:name w:val="Comment Text Char"/>
    <w:basedOn w:val="DefaultParagraphFont"/>
    <w:link w:val="CommentText"/>
    <w:uiPriority w:val="99"/>
    <w:semiHidden/>
    <w:rsid w:val="00E74AB8"/>
  </w:style>
  <w:style w:type="paragraph" w:styleId="CommentSubject">
    <w:name w:val="annotation subject"/>
    <w:basedOn w:val="CommentText"/>
    <w:next w:val="CommentText"/>
    <w:link w:val="CommentSubjectChar"/>
    <w:uiPriority w:val="99"/>
    <w:semiHidden/>
    <w:unhideWhenUsed/>
    <w:rsid w:val="00E74AB8"/>
    <w:rPr>
      <w:b/>
      <w:bCs/>
    </w:rPr>
  </w:style>
  <w:style w:type="character" w:customStyle="1" w:styleId="CommentSubjectChar">
    <w:name w:val="Comment Subject Char"/>
    <w:basedOn w:val="CommentTextChar"/>
    <w:link w:val="CommentSubject"/>
    <w:uiPriority w:val="99"/>
    <w:semiHidden/>
    <w:rsid w:val="00E74AB8"/>
    <w:rPr>
      <w:b/>
      <w:bCs/>
    </w:rPr>
  </w:style>
  <w:style w:type="paragraph" w:styleId="BalloonText">
    <w:name w:val="Balloon Text"/>
    <w:basedOn w:val="Normal"/>
    <w:link w:val="BalloonTextChar"/>
    <w:uiPriority w:val="99"/>
    <w:semiHidden/>
    <w:unhideWhenUsed/>
    <w:rsid w:val="00E7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B8"/>
    <w:rPr>
      <w:rFonts w:ascii="Segoe UI" w:hAnsi="Segoe UI" w:cs="Segoe UI"/>
      <w:sz w:val="18"/>
      <w:szCs w:val="18"/>
    </w:rPr>
  </w:style>
  <w:style w:type="character" w:styleId="Hyperlink">
    <w:name w:val="Hyperlink"/>
    <w:basedOn w:val="DefaultParagraphFont"/>
    <w:uiPriority w:val="99"/>
    <w:unhideWhenUsed/>
    <w:rsid w:val="005009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kern w:val="28"/>
      <w:sz w:val="28"/>
    </w:rPr>
  </w:style>
  <w:style w:type="paragraph" w:styleId="Heading2">
    <w:name w:val="heading 2"/>
    <w:basedOn w:val="Normal"/>
    <w:next w:val="Normal"/>
    <w:qFormat/>
    <w:pPr>
      <w:keepNext/>
      <w:widowControl w:val="0"/>
      <w:jc w:val="center"/>
      <w:outlineLvl w:val="1"/>
    </w:pPr>
    <w:rPr>
      <w:b/>
      <w:snapToGrid w:val="0"/>
    </w:rPr>
  </w:style>
  <w:style w:type="paragraph" w:styleId="Heading4">
    <w:name w:val="heading 4"/>
    <w:basedOn w:val="Normal"/>
    <w:next w:val="Normal"/>
    <w:qFormat/>
    <w:pPr>
      <w:keepNext/>
      <w:widowControl w:val="0"/>
      <w:tabs>
        <w:tab w:val="left" w:pos="2860"/>
      </w:tabs>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BD"/>
    <w:pPr>
      <w:tabs>
        <w:tab w:val="center" w:pos="4680"/>
        <w:tab w:val="right" w:pos="9360"/>
      </w:tabs>
    </w:pPr>
  </w:style>
  <w:style w:type="character" w:customStyle="1" w:styleId="HeaderChar">
    <w:name w:val="Header Char"/>
    <w:link w:val="Header"/>
    <w:uiPriority w:val="99"/>
    <w:rsid w:val="00F67CBD"/>
    <w:rPr>
      <w:sz w:val="24"/>
    </w:rPr>
  </w:style>
  <w:style w:type="paragraph" w:styleId="Footer">
    <w:name w:val="footer"/>
    <w:basedOn w:val="Normal"/>
    <w:link w:val="FooterChar"/>
    <w:uiPriority w:val="99"/>
    <w:unhideWhenUsed/>
    <w:rsid w:val="00F67CBD"/>
    <w:pPr>
      <w:tabs>
        <w:tab w:val="center" w:pos="4680"/>
        <w:tab w:val="right" w:pos="9360"/>
      </w:tabs>
    </w:pPr>
  </w:style>
  <w:style w:type="character" w:customStyle="1" w:styleId="FooterChar">
    <w:name w:val="Footer Char"/>
    <w:link w:val="Footer"/>
    <w:uiPriority w:val="99"/>
    <w:rsid w:val="00F67CBD"/>
    <w:rPr>
      <w:sz w:val="24"/>
    </w:rPr>
  </w:style>
  <w:style w:type="character" w:styleId="CommentReference">
    <w:name w:val="annotation reference"/>
    <w:basedOn w:val="DefaultParagraphFont"/>
    <w:uiPriority w:val="99"/>
    <w:semiHidden/>
    <w:unhideWhenUsed/>
    <w:rsid w:val="00E74AB8"/>
    <w:rPr>
      <w:sz w:val="16"/>
      <w:szCs w:val="16"/>
    </w:rPr>
  </w:style>
  <w:style w:type="paragraph" w:styleId="CommentText">
    <w:name w:val="annotation text"/>
    <w:basedOn w:val="Normal"/>
    <w:link w:val="CommentTextChar"/>
    <w:uiPriority w:val="99"/>
    <w:semiHidden/>
    <w:unhideWhenUsed/>
    <w:rsid w:val="00E74AB8"/>
    <w:rPr>
      <w:sz w:val="20"/>
    </w:rPr>
  </w:style>
  <w:style w:type="character" w:customStyle="1" w:styleId="CommentTextChar">
    <w:name w:val="Comment Text Char"/>
    <w:basedOn w:val="DefaultParagraphFont"/>
    <w:link w:val="CommentText"/>
    <w:uiPriority w:val="99"/>
    <w:semiHidden/>
    <w:rsid w:val="00E74AB8"/>
  </w:style>
  <w:style w:type="paragraph" w:styleId="CommentSubject">
    <w:name w:val="annotation subject"/>
    <w:basedOn w:val="CommentText"/>
    <w:next w:val="CommentText"/>
    <w:link w:val="CommentSubjectChar"/>
    <w:uiPriority w:val="99"/>
    <w:semiHidden/>
    <w:unhideWhenUsed/>
    <w:rsid w:val="00E74AB8"/>
    <w:rPr>
      <w:b/>
      <w:bCs/>
    </w:rPr>
  </w:style>
  <w:style w:type="character" w:customStyle="1" w:styleId="CommentSubjectChar">
    <w:name w:val="Comment Subject Char"/>
    <w:basedOn w:val="CommentTextChar"/>
    <w:link w:val="CommentSubject"/>
    <w:uiPriority w:val="99"/>
    <w:semiHidden/>
    <w:rsid w:val="00E74AB8"/>
    <w:rPr>
      <w:b/>
      <w:bCs/>
    </w:rPr>
  </w:style>
  <w:style w:type="paragraph" w:styleId="BalloonText">
    <w:name w:val="Balloon Text"/>
    <w:basedOn w:val="Normal"/>
    <w:link w:val="BalloonTextChar"/>
    <w:uiPriority w:val="99"/>
    <w:semiHidden/>
    <w:unhideWhenUsed/>
    <w:rsid w:val="00E7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B8"/>
    <w:rPr>
      <w:rFonts w:ascii="Segoe UI" w:hAnsi="Segoe UI" w:cs="Segoe UI"/>
      <w:sz w:val="18"/>
      <w:szCs w:val="18"/>
    </w:rPr>
  </w:style>
  <w:style w:type="character" w:styleId="Hyperlink">
    <w:name w:val="Hyperlink"/>
    <w:basedOn w:val="DefaultParagraphFont"/>
    <w:uiPriority w:val="99"/>
    <w:unhideWhenUsed/>
    <w:rsid w:val="00500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planning.smcgov.org/nexu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cmo</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 User</dc:creator>
  <cp:lastModifiedBy>Brandi Campbell</cp:lastModifiedBy>
  <cp:revision>2</cp:revision>
  <cp:lastPrinted>2016-03-22T22:54:00Z</cp:lastPrinted>
  <dcterms:created xsi:type="dcterms:W3CDTF">2016-06-10T18:40:00Z</dcterms:created>
  <dcterms:modified xsi:type="dcterms:W3CDTF">2016-06-10T18:40:00Z</dcterms:modified>
</cp:coreProperties>
</file>